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EB887" w14:textId="3EAEE77F" w:rsidR="00A95374" w:rsidRDefault="00E267B4">
      <w:pPr>
        <w:pStyle w:val="af3"/>
        <w:rPr>
          <w:rFonts w:eastAsia="宋体" w:cs="Arial"/>
          <w:lang w:eastAsia="zh-CN"/>
        </w:rPr>
      </w:pPr>
      <w:r>
        <w:rPr>
          <w:rFonts w:cs="Arial"/>
        </w:rPr>
        <w:t>3GPP TSG-RAN WG4 Meeting #</w:t>
      </w:r>
      <w:r>
        <w:rPr>
          <w:rFonts w:eastAsia="宋体" w:cs="Arial"/>
          <w:lang w:eastAsia="zh-CN"/>
        </w:rPr>
        <w:t>95</w:t>
      </w:r>
      <w:r>
        <w:rPr>
          <w:rFonts w:eastAsia="宋体" w:cs="Arial" w:hint="eastAsia"/>
          <w:lang w:eastAsia="zh-CN"/>
        </w:rPr>
        <w:t>-e</w:t>
      </w:r>
      <w:r>
        <w:rPr>
          <w:rFonts w:eastAsia="宋体" w:cs="Arial"/>
          <w:lang w:eastAsia="zh-CN"/>
        </w:rPr>
        <w:t xml:space="preserve">     </w:t>
      </w:r>
      <w:r>
        <w:rPr>
          <w:rFonts w:eastAsia="宋体" w:cs="Arial" w:hint="eastAsia"/>
          <w:lang w:eastAsia="zh-CN"/>
        </w:rPr>
        <w:t xml:space="preserve">                                </w:t>
      </w:r>
      <w:r>
        <w:rPr>
          <w:rFonts w:eastAsia="宋体" w:cs="Arial"/>
          <w:lang w:eastAsia="zh-CN"/>
        </w:rPr>
        <w:t xml:space="preserve">  </w:t>
      </w:r>
      <w:bookmarkStart w:id="0" w:name="_GoBack"/>
      <w:bookmarkEnd w:id="0"/>
      <w:r>
        <w:rPr>
          <w:rFonts w:eastAsia="宋体" w:cs="Arial"/>
          <w:lang w:eastAsia="zh-CN"/>
        </w:rPr>
        <w:t xml:space="preserve"> </w:t>
      </w:r>
      <w:r>
        <w:rPr>
          <w:rFonts w:eastAsia="宋体" w:cs="Arial" w:hint="eastAsia"/>
          <w:lang w:eastAsia="zh-CN"/>
        </w:rPr>
        <w:t>R4-200</w:t>
      </w:r>
      <w:r>
        <w:rPr>
          <w:rFonts w:eastAsia="宋体" w:cs="Arial"/>
          <w:lang w:eastAsia="zh-CN"/>
        </w:rPr>
        <w:t xml:space="preserve">8774                       </w:t>
      </w:r>
      <w:r>
        <w:rPr>
          <w:rFonts w:eastAsia="宋体" w:cs="Arial" w:hint="eastAsia"/>
          <w:lang w:eastAsia="zh-CN"/>
        </w:rPr>
        <w:t xml:space="preserve">       </w:t>
      </w:r>
      <w:r>
        <w:rPr>
          <w:rFonts w:eastAsia="宋体" w:cs="Arial"/>
          <w:lang w:eastAsia="zh-CN"/>
        </w:rPr>
        <w:t xml:space="preserve">                                                                    </w:t>
      </w:r>
    </w:p>
    <w:p w14:paraId="0309FF78" w14:textId="77777777" w:rsidR="00A95374" w:rsidRDefault="00E267B4">
      <w:pPr>
        <w:pStyle w:val="af3"/>
        <w:rPr>
          <w:rFonts w:eastAsiaTheme="minorEastAsia" w:cs="Arial"/>
          <w:lang w:eastAsia="zh-CN"/>
        </w:rPr>
      </w:pPr>
      <w:r>
        <w:t>Electronic Meeting</w:t>
      </w:r>
      <w:r>
        <w:rPr>
          <w:rFonts w:cs="Arial" w:hint="eastAsia"/>
        </w:rPr>
        <w:t>,</w:t>
      </w:r>
      <w:r>
        <w:rPr>
          <w:rFonts w:cs="Arial"/>
        </w:rPr>
        <w:t xml:space="preserve"> 25</w:t>
      </w:r>
      <w:r>
        <w:rPr>
          <w:rFonts w:cs="Arial"/>
          <w:vertAlign w:val="superscript"/>
        </w:rPr>
        <w:t xml:space="preserve">th </w:t>
      </w:r>
      <w:r>
        <w:rPr>
          <w:rFonts w:cs="Arial"/>
        </w:rPr>
        <w:t>May–</w:t>
      </w:r>
      <w:r>
        <w:rPr>
          <w:rFonts w:cs="Arial" w:hint="eastAsia"/>
        </w:rPr>
        <w:t xml:space="preserve"> </w:t>
      </w:r>
      <w:r>
        <w:rPr>
          <w:rFonts w:eastAsiaTheme="minorEastAsia" w:cs="Arial"/>
          <w:lang w:eastAsia="zh-CN"/>
        </w:rPr>
        <w:t>5</w:t>
      </w:r>
      <w:r>
        <w:rPr>
          <w:rFonts w:cs="Arial"/>
          <w:vertAlign w:val="superscript"/>
        </w:rPr>
        <w:t>th</w:t>
      </w:r>
      <w:r>
        <w:rPr>
          <w:rFonts w:eastAsiaTheme="minorEastAsia" w:cs="Arial" w:hint="eastAsia"/>
          <w:lang w:eastAsia="zh-CN"/>
        </w:rPr>
        <w:t xml:space="preserve"> </w:t>
      </w:r>
      <w:r>
        <w:rPr>
          <w:rFonts w:eastAsiaTheme="minorEastAsia" w:cs="Arial"/>
          <w:lang w:eastAsia="zh-CN"/>
        </w:rPr>
        <w:t>June</w:t>
      </w:r>
      <w:r>
        <w:rPr>
          <w:rFonts w:cs="Arial"/>
        </w:rPr>
        <w:t>, 20</w:t>
      </w:r>
      <w:r>
        <w:rPr>
          <w:rFonts w:eastAsiaTheme="minorEastAsia" w:cs="Arial" w:hint="eastAsia"/>
          <w:lang w:eastAsia="zh-CN"/>
        </w:rPr>
        <w:t>20</w:t>
      </w:r>
    </w:p>
    <w:p w14:paraId="319A4BB4" w14:textId="77777777" w:rsidR="00A95374" w:rsidRDefault="00E267B4">
      <w:pPr>
        <w:pStyle w:val="a9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b/>
          <w:kern w:val="0"/>
          <w:sz w:val="22"/>
          <w:szCs w:val="22"/>
          <w:lang w:val="en-GB"/>
        </w:rPr>
      </w:pPr>
      <w:r>
        <w:rPr>
          <w:rFonts w:ascii="Arial" w:eastAsia="宋体" w:hAnsi="Arial" w:cs="Arial"/>
          <w:b/>
          <w:kern w:val="0"/>
          <w:sz w:val="22"/>
          <w:szCs w:val="22"/>
          <w:lang w:val="en-GB" w:eastAsia="en-US"/>
        </w:rPr>
        <w:tab/>
      </w:r>
    </w:p>
    <w:p w14:paraId="0756F936" w14:textId="77777777" w:rsidR="00A95374" w:rsidRDefault="00E267B4">
      <w:pPr>
        <w:pStyle w:val="a9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kern w:val="0"/>
          <w:sz w:val="22"/>
          <w:szCs w:val="22"/>
          <w:lang w:val="en-GB" w:eastAsia="en-US"/>
        </w:rPr>
      </w:pPr>
      <w:r>
        <w:rPr>
          <w:rFonts w:ascii="Arial" w:eastAsia="宋体" w:hAnsi="Arial" w:cs="Arial"/>
          <w:b/>
          <w:kern w:val="0"/>
          <w:sz w:val="22"/>
          <w:szCs w:val="22"/>
          <w:lang w:val="en-GB" w:eastAsia="en-US"/>
        </w:rPr>
        <w:t xml:space="preserve">Source: </w:t>
      </w:r>
      <w:r>
        <w:rPr>
          <w:rFonts w:ascii="Arial" w:eastAsia="宋体" w:hAnsi="Arial" w:cs="Arial"/>
          <w:b/>
          <w:kern w:val="0"/>
          <w:sz w:val="22"/>
          <w:szCs w:val="22"/>
          <w:lang w:val="en-GB"/>
        </w:rPr>
        <w:t xml:space="preserve">     </w:t>
      </w:r>
      <w:r>
        <w:rPr>
          <w:rFonts w:ascii="Arial" w:eastAsia="宋体" w:hAnsi="Arial" w:cs="Arial"/>
          <w:kern w:val="0"/>
          <w:sz w:val="22"/>
          <w:szCs w:val="22"/>
          <w:lang w:val="en-GB"/>
        </w:rPr>
        <w:t xml:space="preserve">  </w:t>
      </w:r>
      <w:r>
        <w:rPr>
          <w:rFonts w:ascii="Arial" w:eastAsia="宋体" w:hAnsi="Arial" w:cs="Arial"/>
          <w:kern w:val="0"/>
          <w:sz w:val="22"/>
          <w:szCs w:val="22"/>
          <w:lang w:val="en-GB" w:eastAsia="en-US"/>
        </w:rPr>
        <w:t>Samsung</w:t>
      </w:r>
    </w:p>
    <w:p w14:paraId="2EA3354E" w14:textId="77777777" w:rsidR="00A95374" w:rsidRDefault="00E267B4">
      <w:pPr>
        <w:jc w:val="left"/>
        <w:rPr>
          <w:rFonts w:ascii="Arial" w:eastAsia="宋体" w:hAnsi="Arial" w:cs="Arial"/>
          <w:b/>
          <w:kern w:val="0"/>
          <w:sz w:val="22"/>
          <w:lang w:val="en-GB"/>
        </w:rPr>
      </w:pPr>
      <w:r>
        <w:rPr>
          <w:rFonts w:ascii="Arial" w:eastAsia="宋体" w:hAnsi="Arial" w:cs="Arial"/>
          <w:b/>
          <w:kern w:val="0"/>
          <w:sz w:val="22"/>
          <w:lang w:val="en-GB" w:eastAsia="en-US"/>
        </w:rPr>
        <w:t xml:space="preserve">Title: </w:t>
      </w:r>
      <w:r>
        <w:rPr>
          <w:rFonts w:ascii="Arial" w:eastAsia="宋体" w:hAnsi="Arial" w:cs="Arial" w:hint="eastAsia"/>
          <w:b/>
          <w:kern w:val="0"/>
          <w:sz w:val="22"/>
          <w:lang w:val="en-GB" w:eastAsia="en-US"/>
        </w:rPr>
        <w:t xml:space="preserve">       </w:t>
      </w:r>
      <w:r>
        <w:rPr>
          <w:rFonts w:ascii="Arial" w:eastAsia="宋体" w:hAnsi="Arial" w:cs="Arial"/>
          <w:b/>
          <w:kern w:val="0"/>
          <w:sz w:val="22"/>
          <w:lang w:val="en-GB" w:eastAsia="en-US"/>
        </w:rPr>
        <w:t xml:space="preserve">  </w:t>
      </w:r>
      <w:r>
        <w:rPr>
          <w:rFonts w:ascii="Arial" w:eastAsia="宋体" w:hAnsi="Arial" w:cs="Arial" w:hint="eastAsia"/>
          <w:b/>
          <w:kern w:val="0"/>
          <w:sz w:val="22"/>
          <w:lang w:val="en-GB" w:eastAsia="en-US"/>
        </w:rPr>
        <w:t xml:space="preserve"> </w:t>
      </w:r>
      <w:r>
        <w:rPr>
          <w:rFonts w:ascii="Arial" w:eastAsia="宋体" w:hAnsi="Arial" w:cs="Arial"/>
          <w:kern w:val="0"/>
          <w:sz w:val="22"/>
          <w:lang w:val="en-GB"/>
        </w:rPr>
        <w:t xml:space="preserve">IAB-MT Pcmax definition  </w:t>
      </w:r>
    </w:p>
    <w:p w14:paraId="4640BD03" w14:textId="77777777" w:rsidR="00A95374" w:rsidRDefault="00E267B4">
      <w:pPr>
        <w:jc w:val="left"/>
        <w:rPr>
          <w:rFonts w:ascii="Arial" w:eastAsia="宋体" w:hAnsi="Arial" w:cs="Arial"/>
          <w:kern w:val="0"/>
          <w:sz w:val="22"/>
          <w:lang w:val="en-GB"/>
        </w:rPr>
      </w:pPr>
      <w:r>
        <w:rPr>
          <w:rFonts w:ascii="Arial" w:eastAsia="宋体" w:hAnsi="Arial" w:cs="Arial"/>
          <w:b/>
          <w:kern w:val="0"/>
          <w:sz w:val="22"/>
          <w:lang w:val="en-GB"/>
        </w:rPr>
        <w:t xml:space="preserve">Agenda:       </w:t>
      </w:r>
      <w:r>
        <w:rPr>
          <w:rFonts w:ascii="Arial" w:eastAsia="宋体" w:hAnsi="Arial" w:cs="Arial"/>
          <w:kern w:val="0"/>
          <w:sz w:val="22"/>
          <w:lang w:val="en-GB"/>
        </w:rPr>
        <w:t xml:space="preserve"> 6.5.2</w:t>
      </w:r>
    </w:p>
    <w:p w14:paraId="3CA00776" w14:textId="77777777" w:rsidR="00A95374" w:rsidRDefault="00E267B4">
      <w:pPr>
        <w:pStyle w:val="a9"/>
        <w:pBdr>
          <w:bottom w:val="none" w:sz="0" w:space="0" w:color="auto"/>
        </w:pBdr>
        <w:tabs>
          <w:tab w:val="clear" w:pos="4153"/>
          <w:tab w:val="clear" w:pos="8306"/>
          <w:tab w:val="right" w:pos="9072"/>
          <w:tab w:val="left" w:pos="9781"/>
        </w:tabs>
        <w:snapToGrid/>
        <w:ind w:right="-28"/>
        <w:jc w:val="left"/>
        <w:rPr>
          <w:rFonts w:ascii="Arial" w:eastAsia="宋体" w:hAnsi="Arial" w:cs="Arial"/>
          <w:kern w:val="0"/>
          <w:sz w:val="22"/>
          <w:szCs w:val="22"/>
          <w:lang w:val="en-GB"/>
        </w:rPr>
      </w:pPr>
      <w:r>
        <w:rPr>
          <w:rFonts w:ascii="Arial" w:eastAsia="宋体" w:hAnsi="Arial" w:cs="Arial"/>
          <w:b/>
          <w:kern w:val="0"/>
          <w:sz w:val="22"/>
          <w:szCs w:val="22"/>
          <w:lang w:val="en-GB" w:eastAsia="en-US"/>
        </w:rPr>
        <w:t>Document for:</w:t>
      </w:r>
      <w:r>
        <w:rPr>
          <w:rFonts w:ascii="Arial" w:eastAsia="宋体" w:hAnsi="Arial" w:cs="Arial" w:hint="eastAsia"/>
          <w:b/>
          <w:kern w:val="0"/>
          <w:sz w:val="22"/>
          <w:szCs w:val="22"/>
          <w:lang w:val="en-GB" w:eastAsia="en-US"/>
        </w:rPr>
        <w:t xml:space="preserve"> </w:t>
      </w:r>
      <w:r>
        <w:rPr>
          <w:rFonts w:ascii="Arial" w:eastAsia="宋体" w:hAnsi="Arial" w:cs="Arial" w:hint="eastAsia"/>
          <w:b/>
          <w:kern w:val="0"/>
          <w:sz w:val="22"/>
          <w:szCs w:val="22"/>
          <w:lang w:val="en-GB"/>
        </w:rPr>
        <w:t xml:space="preserve"> </w:t>
      </w:r>
      <w:r>
        <w:rPr>
          <w:rFonts w:ascii="Arial" w:eastAsia="宋体" w:hAnsi="Arial" w:cs="Arial" w:hint="eastAsia"/>
          <w:kern w:val="0"/>
          <w:sz w:val="22"/>
          <w:szCs w:val="22"/>
          <w:lang w:val="en-GB"/>
        </w:rPr>
        <w:t>Approval</w:t>
      </w:r>
    </w:p>
    <w:p w14:paraId="624B1EDE" w14:textId="77777777" w:rsidR="00A95374" w:rsidRDefault="00E267B4">
      <w:pPr>
        <w:pStyle w:val="1"/>
        <w:tabs>
          <w:tab w:val="left" w:pos="9781"/>
        </w:tabs>
        <w:ind w:right="-28"/>
        <w:jc w:val="both"/>
        <w:rPr>
          <w:rFonts w:cs="Arial"/>
          <w:lang w:eastAsia="zh-CN"/>
        </w:rPr>
      </w:pPr>
      <w:r>
        <w:rPr>
          <w:rFonts w:cs="Arial"/>
        </w:rPr>
        <w:t>Introduction</w:t>
      </w:r>
    </w:p>
    <w:p w14:paraId="76EC2527" w14:textId="77777777" w:rsidR="00A95374" w:rsidRDefault="00E267B4">
      <w:r>
        <w:rPr>
          <w:rFonts w:ascii="Calibri" w:hAnsi="Calibri" w:cs="Calibri"/>
          <w:sz w:val="20"/>
          <w:szCs w:val="20"/>
        </w:rPr>
        <w:t xml:space="preserve">In UE specification TS38.101-1 and TS38.101-2 the Configured transmitted power defined as </w:t>
      </w:r>
      <w:r>
        <w:t>P</w:t>
      </w:r>
      <w:r>
        <w:rPr>
          <w:vertAlign w:val="subscript"/>
        </w:rPr>
        <w:t>CMAX,f,c</w:t>
      </w:r>
      <w:r>
        <w:t xml:space="preserve"> for carrier f of serving cell c is defined for FR1 and RF2 with details in Annex. And UL output power control defined in TS38.213, in which the</w:t>
      </w:r>
      <w:r>
        <w:rPr>
          <w:rFonts w:ascii="Calibri" w:hAnsi="Calibri" w:cs="Calibri"/>
          <w:sz w:val="20"/>
          <w:szCs w:val="20"/>
        </w:rPr>
        <w:t xml:space="preserve"> </w:t>
      </w:r>
      <w:r>
        <w:t>P</w:t>
      </w:r>
      <w:r>
        <w:rPr>
          <w:vertAlign w:val="subscript"/>
        </w:rPr>
        <w:t xml:space="preserve">CMAX,f,c </w:t>
      </w:r>
      <w:r>
        <w:t>addressed, is agreed to be applied for IAB-MT as well. Hence the necessity of P</w:t>
      </w:r>
      <w:r>
        <w:rPr>
          <w:vertAlign w:val="subscript"/>
        </w:rPr>
        <w:t xml:space="preserve">CMAX,f,c </w:t>
      </w:r>
      <w:r>
        <w:t>for IAB-MT and associated detail were discussed in [1] based on input from companies [2- 5]. This WF aims to capture the corresponding agreement [</w:t>
      </w:r>
      <w:r>
        <w:rPr>
          <w:highlight w:val="green"/>
        </w:rPr>
        <w:t>in green</w:t>
      </w:r>
      <w:r>
        <w:t>] and study points [</w:t>
      </w:r>
      <w:r>
        <w:rPr>
          <w:highlight w:val="yellow"/>
        </w:rPr>
        <w:t>in yellow</w:t>
      </w:r>
      <w:r>
        <w:t xml:space="preserve">] for next step. </w:t>
      </w:r>
    </w:p>
    <w:p w14:paraId="5C5A48B2" w14:textId="77777777" w:rsidR="00A95374" w:rsidRDefault="00E267B4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t xml:space="preserve">Way forward </w:t>
      </w:r>
    </w:p>
    <w:p w14:paraId="1BAE26F3" w14:textId="5D06B923" w:rsidR="00A95374" w:rsidRPr="009F5890" w:rsidRDefault="00E267B4">
      <w:pPr>
        <w:pStyle w:val="af2"/>
        <w:numPr>
          <w:ilvl w:val="1"/>
          <w:numId w:val="3"/>
        </w:numPr>
        <w:ind w:firstLineChars="0"/>
        <w:rPr>
          <w:sz w:val="20"/>
          <w:szCs w:val="20"/>
        </w:rPr>
      </w:pPr>
      <w:r w:rsidRPr="009F5890">
        <w:rPr>
          <w:rFonts w:asciiTheme="minorHAnsi" w:hAnsiTheme="minorHAnsi" w:cstheme="minorHAnsi"/>
          <w:sz w:val="20"/>
          <w:szCs w:val="20"/>
          <w:highlight w:val="green"/>
        </w:rPr>
        <w:t>P</w:t>
      </w:r>
      <w:r w:rsidRPr="009F5890">
        <w:rPr>
          <w:rFonts w:asciiTheme="minorHAnsi" w:hAnsiTheme="minorHAnsi" w:cstheme="minorHAnsi"/>
          <w:sz w:val="20"/>
          <w:szCs w:val="20"/>
          <w:highlight w:val="green"/>
          <w:vertAlign w:val="subscript"/>
        </w:rPr>
        <w:t>CMAX,f,c</w:t>
      </w:r>
      <w:r w:rsidRPr="009F5890">
        <w:rPr>
          <w:rFonts w:asciiTheme="minorHAnsi" w:hAnsiTheme="minorHAnsi" w:cstheme="minorHAnsi"/>
          <w:sz w:val="20"/>
          <w:szCs w:val="20"/>
          <w:highlight w:val="green"/>
        </w:rPr>
        <w:t xml:space="preserve"> shall be defined for IAB-</w:t>
      </w:r>
      <w:commentRangeStart w:id="1"/>
      <w:r w:rsidRPr="009F5890">
        <w:rPr>
          <w:rFonts w:asciiTheme="minorHAnsi" w:hAnsiTheme="minorHAnsi" w:cstheme="minorHAnsi"/>
          <w:sz w:val="20"/>
          <w:szCs w:val="20"/>
          <w:highlight w:val="green"/>
        </w:rPr>
        <w:t>MT</w:t>
      </w:r>
      <w:commentRangeEnd w:id="1"/>
      <w:r w:rsidRPr="009F5890">
        <w:rPr>
          <w:rStyle w:val="af"/>
          <w:rFonts w:asciiTheme="minorHAnsi" w:eastAsiaTheme="minorEastAsia" w:hAnsiTheme="minorHAnsi" w:cstheme="minorBidi"/>
          <w:kern w:val="2"/>
          <w:highlight w:val="green"/>
        </w:rPr>
        <w:commentReference w:id="1"/>
      </w:r>
      <w:r>
        <w:rPr>
          <w:rFonts w:asciiTheme="minorHAnsi" w:hAnsiTheme="minorHAnsi" w:cstheme="minorHAnsi"/>
          <w:sz w:val="20"/>
          <w:szCs w:val="20"/>
        </w:rPr>
        <w:t xml:space="preserve"> with below options, other option is not precluded. </w:t>
      </w:r>
    </w:p>
    <w:p w14:paraId="6E9D56D5" w14:textId="2CC15CFA" w:rsidR="00A95374" w:rsidRPr="009F5890" w:rsidRDefault="00E267B4" w:rsidP="009F5890">
      <w:pPr>
        <w:pStyle w:val="af2"/>
        <w:numPr>
          <w:ilvl w:val="2"/>
          <w:numId w:val="3"/>
        </w:numPr>
        <w:ind w:firstLineChars="0"/>
        <w:rPr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Option 1:To be defined with necessary simplification based existing UE requirement on </w:t>
      </w:r>
      <w:r>
        <w:rPr>
          <w:rFonts w:asciiTheme="minorHAnsi" w:hAnsiTheme="minorHAnsi" w:cstheme="minorHAnsi"/>
          <w:i/>
          <w:sz w:val="20"/>
          <w:szCs w:val="20"/>
        </w:rPr>
        <w:t>Configured transmitted power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25192B62" w14:textId="385D1A9F" w:rsidR="00A95374" w:rsidRDefault="00E267B4" w:rsidP="009F5890">
      <w:pPr>
        <w:pStyle w:val="af2"/>
        <w:numPr>
          <w:ilvl w:val="2"/>
          <w:numId w:val="3"/>
        </w:numPr>
        <w:ind w:firstLineChars="0"/>
        <w:rPr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Option 2: Pcmax definition is addressed in other </w:t>
      </w:r>
      <w:commentRangeStart w:id="2"/>
      <w:r>
        <w:rPr>
          <w:rFonts w:asciiTheme="minorHAnsi" w:hAnsiTheme="minorHAnsi" w:cstheme="minorHAnsi"/>
          <w:sz w:val="20"/>
          <w:szCs w:val="20"/>
        </w:rPr>
        <w:t>manner</w:t>
      </w:r>
      <w:commentRangeEnd w:id="2"/>
      <w:r>
        <w:rPr>
          <w:rStyle w:val="af"/>
          <w:rFonts w:asciiTheme="minorHAnsi" w:eastAsiaTheme="minorEastAsia" w:hAnsiTheme="minorHAnsi" w:cstheme="minorBidi"/>
          <w:kern w:val="2"/>
        </w:rPr>
        <w:commentReference w:id="2"/>
      </w:r>
      <w:r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078EF4D0" w14:textId="77777777" w:rsidR="00A95374" w:rsidRPr="009F5890" w:rsidRDefault="00A95374" w:rsidP="009F5890">
      <w:pPr>
        <w:numPr>
          <w:ilvl w:val="1"/>
          <w:numId w:val="3"/>
        </w:numPr>
        <w:rPr>
          <w:sz w:val="20"/>
          <w:szCs w:val="20"/>
          <w:highlight w:val="green"/>
        </w:rPr>
      </w:pPr>
    </w:p>
    <w:p w14:paraId="12529373" w14:textId="18D251BF" w:rsidR="00A95374" w:rsidRDefault="00E267B4">
      <w:pPr>
        <w:rPr>
          <w:b/>
          <w:vertAlign w:val="subscript"/>
        </w:rPr>
      </w:pPr>
      <w:r w:rsidRPr="009F5890">
        <w:rPr>
          <w:b/>
        </w:rPr>
        <w:t>For option 1 on FR1 IAB-MT P</w:t>
      </w:r>
      <w:r w:rsidRPr="009F5890">
        <w:rPr>
          <w:b/>
          <w:vertAlign w:val="subscript"/>
        </w:rPr>
        <w:t>cmac,f,c</w:t>
      </w:r>
    </w:p>
    <w:p w14:paraId="700E67C7" w14:textId="671698D9" w:rsidR="00A95374" w:rsidRDefault="00E267B4">
      <w:pPr>
        <w:rPr>
          <w:rFonts w:eastAsia="宋体" w:cstheme="minorHAnsi"/>
          <w:kern w:val="0"/>
          <w:sz w:val="20"/>
          <w:szCs w:val="20"/>
        </w:rPr>
      </w:pPr>
      <w:r>
        <w:rPr>
          <w:rFonts w:eastAsia="宋体" w:cstheme="minorHAnsi"/>
          <w:kern w:val="0"/>
          <w:sz w:val="20"/>
          <w:szCs w:val="20"/>
        </w:rPr>
        <w:t>With the factor that considered in UE formula, there</w:t>
      </w:r>
      <w:r w:rsidR="009F5890">
        <w:rPr>
          <w:rFonts w:eastAsia="宋体" w:cstheme="minorHAnsi"/>
          <w:kern w:val="0"/>
          <w:sz w:val="20"/>
          <w:szCs w:val="20"/>
        </w:rPr>
        <w:t xml:space="preserve"> is</w:t>
      </w:r>
      <w:r>
        <w:rPr>
          <w:rFonts w:eastAsia="宋体" w:cstheme="minorHAnsi"/>
          <w:kern w:val="0"/>
          <w:sz w:val="20"/>
          <w:szCs w:val="20"/>
        </w:rPr>
        <w:t xml:space="preserve"> agreement that:</w:t>
      </w:r>
    </w:p>
    <w:p w14:paraId="73B03733" w14:textId="77777777" w:rsidR="00A95374" w:rsidRDefault="00E267B4" w:rsidP="009F5890">
      <w:pPr>
        <w:pStyle w:val="af2"/>
        <w:numPr>
          <w:ilvl w:val="0"/>
          <w:numId w:val="4"/>
        </w:numPr>
        <w:ind w:firstLineChars="0"/>
        <w:rPr>
          <w:rFonts w:ascii="Calibri" w:hAnsi="Calibri" w:cs="Calibri"/>
          <w:sz w:val="20"/>
          <w:szCs w:val="20"/>
        </w:rPr>
      </w:pPr>
      <w:r w:rsidRPr="009F5890">
        <w:rPr>
          <w:rFonts w:ascii="Calibri" w:hAnsi="Calibri" w:cs="Calibri"/>
          <w:sz w:val="20"/>
          <w:szCs w:val="20"/>
          <w:highlight w:val="green"/>
        </w:rPr>
        <w:t>The factor related to pi/2 BPSK, UL Duty cycle and P-MPR will not be applied for IAB-MT</w:t>
      </w:r>
    </w:p>
    <w:p w14:paraId="4A428DBF" w14:textId="77777777" w:rsidR="00A95374" w:rsidRDefault="00E267B4">
      <w:pPr>
        <w:rPr>
          <w:rFonts w:ascii="Calibri" w:hAnsi="Calibri" w:cs="Calibri"/>
          <w:sz w:val="20"/>
          <w:szCs w:val="20"/>
        </w:rPr>
      </w:pPr>
      <w:r w:rsidRPr="009F5890">
        <w:rPr>
          <w:rFonts w:ascii="Calibri" w:hAnsi="Calibri" w:cs="Calibri"/>
          <w:sz w:val="20"/>
          <w:szCs w:val="20"/>
          <w:highlight w:val="yellow"/>
        </w:rPr>
        <w:t>FFS on</w:t>
      </w:r>
      <w:r>
        <w:rPr>
          <w:rFonts w:ascii="Calibri" w:hAnsi="Calibri" w:cs="Calibri"/>
          <w:sz w:val="20"/>
          <w:szCs w:val="20"/>
        </w:rPr>
        <w:t xml:space="preserve"> </w:t>
      </w:r>
    </w:p>
    <w:p w14:paraId="7644B9B7" w14:textId="77777777" w:rsidR="00A95374" w:rsidRPr="009F5890" w:rsidRDefault="00E267B4" w:rsidP="009F5890">
      <w:pPr>
        <w:pStyle w:val="af2"/>
        <w:numPr>
          <w:ilvl w:val="0"/>
          <w:numId w:val="4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 w:hint="eastAsia"/>
          <w:sz w:val="20"/>
          <w:szCs w:val="20"/>
        </w:rPr>
        <w:t>W</w:t>
      </w:r>
      <w:r>
        <w:rPr>
          <w:rFonts w:ascii="Calibri" w:hAnsi="Calibri" w:cs="Calibri"/>
          <w:sz w:val="20"/>
          <w:szCs w:val="20"/>
        </w:rPr>
        <w:t>hether</w:t>
      </w:r>
      <w:r>
        <w:rPr>
          <w:rFonts w:ascii="Arial" w:hAnsi="Arial" w:cs="Arial"/>
          <w:sz w:val="18"/>
          <w:szCs w:val="18"/>
        </w:rPr>
        <w:t xml:space="preserve"> P</w:t>
      </w:r>
      <w:r>
        <w:rPr>
          <w:rFonts w:ascii="Arial" w:hAnsi="Arial" w:cs="Arial"/>
          <w:sz w:val="18"/>
          <w:szCs w:val="18"/>
          <w:vertAlign w:val="subscript"/>
        </w:rPr>
        <w:t>EMAX,c</w:t>
      </w:r>
      <w:r>
        <w:rPr>
          <w:rFonts w:ascii="Arial" w:hAnsi="Arial" w:cs="Arial"/>
          <w:sz w:val="18"/>
          <w:szCs w:val="18"/>
        </w:rPr>
        <w:t xml:space="preserve"> shall be complied if presented in SIB. </w:t>
      </w:r>
    </w:p>
    <w:p w14:paraId="45959FCF" w14:textId="0C9372B0" w:rsidR="00A95374" w:rsidRPr="009F5890" w:rsidRDefault="00E267B4" w:rsidP="009F5890">
      <w:pPr>
        <w:pStyle w:val="af2"/>
        <w:numPr>
          <w:ilvl w:val="0"/>
          <w:numId w:val="4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Whether there is problem if declaration covers maximum output power , power reduction including MPR/AMPR and relaxation due to CA and if all these aspects need to be covered</w:t>
      </w:r>
    </w:p>
    <w:p w14:paraId="4CC4ED49" w14:textId="5796C93A" w:rsidR="00E267B4" w:rsidRPr="009F5890" w:rsidRDefault="00E267B4" w:rsidP="00A95374">
      <w:pPr>
        <w:pStyle w:val="af2"/>
        <w:numPr>
          <w:ilvl w:val="0"/>
          <w:numId w:val="4"/>
        </w:numPr>
        <w:ind w:firstLineChars="0"/>
        <w:rPr>
          <w:rFonts w:ascii="Calibri" w:hAnsi="Calibri" w:cs="Calibri"/>
          <w:sz w:val="20"/>
          <w:szCs w:val="20"/>
        </w:rPr>
      </w:pPr>
      <w:commentRangeStart w:id="3"/>
      <w:r>
        <w:rPr>
          <w:rFonts w:ascii="Arial" w:hAnsi="Arial" w:cs="Arial"/>
          <w:sz w:val="18"/>
          <w:szCs w:val="18"/>
        </w:rPr>
        <w:t xml:space="preserve">If and how </w:t>
      </w:r>
      <w:commentRangeEnd w:id="3"/>
      <w:r>
        <w:rPr>
          <w:rStyle w:val="af"/>
          <w:rFonts w:asciiTheme="minorHAnsi" w:eastAsiaTheme="minorEastAsia" w:hAnsiTheme="minorHAnsi" w:cstheme="minorBidi"/>
          <w:kern w:val="2"/>
        </w:rPr>
        <w:commentReference w:id="3"/>
      </w:r>
      <w:r>
        <w:rPr>
          <w:rFonts w:ascii="Arial" w:hAnsi="Arial" w:cs="Arial"/>
          <w:sz w:val="18"/>
          <w:szCs w:val="18"/>
        </w:rPr>
        <w:t>PHR to be reflected in Pcmax</w:t>
      </w:r>
    </w:p>
    <w:p w14:paraId="1820ABA2" w14:textId="681FAC8B" w:rsidR="00A95374" w:rsidRPr="009F5890" w:rsidRDefault="00E267B4" w:rsidP="009F5890">
      <w:pPr>
        <w:pStyle w:val="af2"/>
        <w:numPr>
          <w:ilvl w:val="0"/>
          <w:numId w:val="4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Possible differences between IAB-MT classes </w:t>
      </w:r>
    </w:p>
    <w:p w14:paraId="38651AC0" w14:textId="77777777" w:rsidR="00A95374" w:rsidRPr="009F5890" w:rsidRDefault="00E267B4" w:rsidP="009F5890">
      <w:pPr>
        <w:pStyle w:val="af2"/>
        <w:numPr>
          <w:ilvl w:val="0"/>
          <w:numId w:val="4"/>
        </w:numPr>
        <w:ind w:firstLineChars="0"/>
        <w:rPr>
          <w:rFonts w:ascii="Calibri" w:hAnsi="Calibri" w:cs="Calibri"/>
          <w:b/>
          <w:sz w:val="20"/>
          <w:szCs w:val="20"/>
          <w:vertAlign w:val="subscript"/>
        </w:rPr>
      </w:pPr>
      <w:r>
        <w:rPr>
          <w:rFonts w:ascii="Arial" w:hAnsi="Arial" w:cs="Arial"/>
          <w:sz w:val="18"/>
          <w:szCs w:val="18"/>
        </w:rPr>
        <w:t>…</w:t>
      </w:r>
    </w:p>
    <w:p w14:paraId="19C01ABC" w14:textId="77777777" w:rsidR="00A95374" w:rsidRDefault="00A95374">
      <w:pPr>
        <w:rPr>
          <w:b/>
        </w:rPr>
      </w:pPr>
    </w:p>
    <w:tbl>
      <w:tblPr>
        <w:tblStyle w:val="af1"/>
        <w:tblW w:w="6374" w:type="dxa"/>
        <w:tblLayout w:type="fixed"/>
        <w:tblLook w:val="04A0" w:firstRow="1" w:lastRow="0" w:firstColumn="1" w:lastColumn="0" w:noHBand="0" w:noVBand="1"/>
      </w:tblPr>
      <w:tblGrid>
        <w:gridCol w:w="2405"/>
        <w:gridCol w:w="3969"/>
      </w:tblGrid>
      <w:tr w:rsidR="009F5890" w14:paraId="3C3FEEF0" w14:textId="77777777" w:rsidTr="009F5890">
        <w:tc>
          <w:tcPr>
            <w:tcW w:w="2405" w:type="dxa"/>
          </w:tcPr>
          <w:p w14:paraId="79CE4FBF" w14:textId="77777777" w:rsidR="009F5890" w:rsidRDefault="009F589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Factor in FR1 UE formula for 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cmac,f,c</w:t>
            </w:r>
          </w:p>
        </w:tc>
        <w:tc>
          <w:tcPr>
            <w:tcW w:w="3969" w:type="dxa"/>
          </w:tcPr>
          <w:p w14:paraId="7AD64E17" w14:textId="77777777" w:rsidR="009F5890" w:rsidRDefault="009F589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Note for UE aspect</w:t>
            </w:r>
          </w:p>
        </w:tc>
      </w:tr>
      <w:tr w:rsidR="009F5890" w14:paraId="2596725C" w14:textId="77777777" w:rsidTr="009F5890">
        <w:tc>
          <w:tcPr>
            <w:tcW w:w="2405" w:type="dxa"/>
          </w:tcPr>
          <w:p w14:paraId="7BBE4E24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EMAX,c</w:t>
            </w:r>
          </w:p>
        </w:tc>
        <w:tc>
          <w:tcPr>
            <w:tcW w:w="3969" w:type="dxa"/>
          </w:tcPr>
          <w:p w14:paraId="4EC8BCEE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given by either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p-Max</w:t>
            </w:r>
            <w:r>
              <w:rPr>
                <w:rFonts w:ascii="Arial" w:hAnsi="Arial" w:cs="Arial"/>
                <w:sz w:val="18"/>
                <w:szCs w:val="18"/>
              </w:rPr>
              <w:t xml:space="preserve"> IE or the field </w:t>
            </w:r>
            <w:r>
              <w:rPr>
                <w:rFonts w:ascii="Arial" w:hAnsi="Arial" w:cs="Arial"/>
                <w:i/>
                <w:sz w:val="18"/>
                <w:szCs w:val="18"/>
              </w:rPr>
              <w:t>additionalPmax</w:t>
            </w:r>
            <w:r>
              <w:rPr>
                <w:rFonts w:ascii="Arial" w:hAnsi="Arial" w:cs="Arial"/>
                <w:sz w:val="18"/>
                <w:szCs w:val="18"/>
              </w:rPr>
              <w:t xml:space="preserve"> of the </w:t>
            </w:r>
            <w:r>
              <w:rPr>
                <w:rFonts w:ascii="Arial" w:hAnsi="Arial" w:cs="Arial"/>
                <w:i/>
                <w:sz w:val="18"/>
                <w:szCs w:val="18"/>
              </w:rPr>
              <w:t>NR-NS-PmaxList IE</w:t>
            </w:r>
          </w:p>
        </w:tc>
      </w:tr>
      <w:tr w:rsidR="009F5890" w14:paraId="5817279B" w14:textId="77777777" w:rsidTr="009F5890">
        <w:tc>
          <w:tcPr>
            <w:tcW w:w="2405" w:type="dxa"/>
          </w:tcPr>
          <w:p w14:paraId="17ADFECE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PowerClass</w:t>
            </w:r>
            <w:r>
              <w:rPr>
                <w:rFonts w:ascii="Arial" w:hAnsi="Arial" w:cs="Arial"/>
                <w:sz w:val="18"/>
                <w:szCs w:val="18"/>
              </w:rPr>
              <w:t>/ΔP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PowerClass</w:t>
            </w:r>
            <w:r>
              <w:rPr>
                <w:rFonts w:ascii="Arial" w:hAnsi="Arial" w:cs="Arial"/>
                <w:sz w:val="18"/>
                <w:szCs w:val="18"/>
              </w:rPr>
              <w:t>/∆T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C,c</w:t>
            </w:r>
          </w:p>
        </w:tc>
        <w:tc>
          <w:tcPr>
            <w:tcW w:w="3969" w:type="dxa"/>
          </w:tcPr>
          <w:p w14:paraId="0914D97A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 power class related factors</w:t>
            </w:r>
          </w:p>
        </w:tc>
      </w:tr>
      <w:tr w:rsidR="009F5890" w14:paraId="4B438D69" w14:textId="77777777" w:rsidTr="009F5890">
        <w:tc>
          <w:tcPr>
            <w:tcW w:w="2405" w:type="dxa"/>
          </w:tcPr>
          <w:p w14:paraId="0B575435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∆T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IB,c</w:t>
            </w:r>
          </w:p>
        </w:tc>
        <w:tc>
          <w:tcPr>
            <w:tcW w:w="3969" w:type="dxa"/>
          </w:tcPr>
          <w:p w14:paraId="30462223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Relaxation due to inter band CA and SUL</w:t>
            </w:r>
          </w:p>
        </w:tc>
      </w:tr>
      <w:tr w:rsidR="009F5890" w14:paraId="062F0095" w14:textId="77777777" w:rsidTr="009F5890">
        <w:tc>
          <w:tcPr>
            <w:tcW w:w="2405" w:type="dxa"/>
          </w:tcPr>
          <w:p w14:paraId="7994C3E4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MPR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 and A-MPR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3969" w:type="dxa"/>
          </w:tcPr>
          <w:p w14:paraId="5B2BFE5C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Power reduction</w:t>
            </w:r>
          </w:p>
        </w:tc>
      </w:tr>
      <w:tr w:rsidR="009F5890" w14:paraId="09E06F12" w14:textId="77777777" w:rsidTr="009F5890">
        <w:tc>
          <w:tcPr>
            <w:tcW w:w="2405" w:type="dxa"/>
          </w:tcPr>
          <w:p w14:paraId="5435FDCA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∆T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RxSRS</w:t>
            </w:r>
          </w:p>
        </w:tc>
        <w:tc>
          <w:tcPr>
            <w:tcW w:w="3969" w:type="dxa"/>
          </w:tcPr>
          <w:p w14:paraId="365607EC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Applies for certain case when UE transmits SRS</w:t>
            </w:r>
          </w:p>
        </w:tc>
      </w:tr>
      <w:tr w:rsidR="009F5890" w14:paraId="26323C46" w14:textId="77777777" w:rsidTr="009F5890">
        <w:tc>
          <w:tcPr>
            <w:tcW w:w="2405" w:type="dxa"/>
          </w:tcPr>
          <w:p w14:paraId="0211ABE8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powerBoostPi2BPSK</w:t>
            </w:r>
          </w:p>
        </w:tc>
        <w:tc>
          <w:tcPr>
            <w:tcW w:w="3969" w:type="dxa"/>
          </w:tcPr>
          <w:p w14:paraId="7AFC96C1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For PI/2 BPSK modulation</w:t>
            </w:r>
          </w:p>
        </w:tc>
      </w:tr>
      <w:tr w:rsidR="009F5890" w14:paraId="4D4B5EB6" w14:textId="77777777" w:rsidTr="009F5890">
        <w:tc>
          <w:tcPr>
            <w:tcW w:w="2405" w:type="dxa"/>
          </w:tcPr>
          <w:p w14:paraId="703F158E" w14:textId="77777777" w:rsidR="009F5890" w:rsidRDefault="009F5890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maxUplinkDutyCycle</w:t>
            </w:r>
          </w:p>
        </w:tc>
        <w:tc>
          <w:tcPr>
            <w:tcW w:w="3969" w:type="dxa"/>
          </w:tcPr>
          <w:p w14:paraId="3F2AD768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</w:rPr>
              <w:t>or certain UE UL duty cycle</w:t>
            </w:r>
          </w:p>
        </w:tc>
      </w:tr>
      <w:tr w:rsidR="009F5890" w14:paraId="5AB2030B" w14:textId="77777777" w:rsidTr="009F5890">
        <w:tc>
          <w:tcPr>
            <w:tcW w:w="2405" w:type="dxa"/>
          </w:tcPr>
          <w:p w14:paraId="5F7D5265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P-MPR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3969" w:type="dxa"/>
          </w:tcPr>
          <w:p w14:paraId="65CEC435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Mainly for SAR</w:t>
            </w:r>
          </w:p>
        </w:tc>
      </w:tr>
    </w:tbl>
    <w:p w14:paraId="7A2BA5F8" w14:textId="77777777" w:rsidR="00A95374" w:rsidRDefault="00A95374">
      <w:pPr>
        <w:rPr>
          <w:sz w:val="20"/>
          <w:szCs w:val="20"/>
        </w:rPr>
      </w:pPr>
    </w:p>
    <w:p w14:paraId="778B074A" w14:textId="77777777" w:rsidR="00A95374" w:rsidRDefault="00A95374">
      <w:pPr>
        <w:rPr>
          <w:sz w:val="20"/>
          <w:szCs w:val="20"/>
        </w:rPr>
      </w:pPr>
    </w:p>
    <w:p w14:paraId="2BA386D0" w14:textId="77777777" w:rsidR="00A95374" w:rsidRDefault="00A95374">
      <w:pPr>
        <w:rPr>
          <w:sz w:val="20"/>
          <w:szCs w:val="20"/>
        </w:rPr>
      </w:pPr>
    </w:p>
    <w:p w14:paraId="3B77A6D0" w14:textId="77777777" w:rsidR="00A95374" w:rsidRDefault="00A95374">
      <w:pPr>
        <w:rPr>
          <w:sz w:val="20"/>
          <w:szCs w:val="20"/>
        </w:rPr>
      </w:pPr>
    </w:p>
    <w:p w14:paraId="78475DD0" w14:textId="18622823" w:rsidR="00A95374" w:rsidRDefault="00E267B4">
      <w:pPr>
        <w:rPr>
          <w:b/>
          <w:vertAlign w:val="subscript"/>
        </w:rPr>
      </w:pPr>
      <w:r>
        <w:rPr>
          <w:b/>
        </w:rPr>
        <w:t>For option 1 on FR2 IAB-MT P</w:t>
      </w:r>
      <w:r>
        <w:rPr>
          <w:b/>
          <w:vertAlign w:val="subscript"/>
        </w:rPr>
        <w:t>cmac,f,c</w:t>
      </w:r>
    </w:p>
    <w:p w14:paraId="64E6F61D" w14:textId="58B69B17" w:rsidR="00A95374" w:rsidRDefault="00E267B4">
      <w:pPr>
        <w:rPr>
          <w:rFonts w:eastAsia="宋体" w:cstheme="minorHAnsi"/>
          <w:kern w:val="0"/>
          <w:sz w:val="20"/>
          <w:szCs w:val="20"/>
        </w:rPr>
      </w:pPr>
      <w:r>
        <w:rPr>
          <w:rFonts w:eastAsia="宋体" w:cstheme="minorHAnsi"/>
          <w:kern w:val="0"/>
          <w:sz w:val="20"/>
          <w:szCs w:val="20"/>
        </w:rPr>
        <w:t xml:space="preserve">With the factor that considered in UE formula, there </w:t>
      </w:r>
      <w:r w:rsidR="009F5890">
        <w:rPr>
          <w:rFonts w:eastAsia="宋体" w:cstheme="minorHAnsi"/>
          <w:kern w:val="0"/>
          <w:sz w:val="20"/>
          <w:szCs w:val="20"/>
        </w:rPr>
        <w:t>is</w:t>
      </w:r>
      <w:r>
        <w:rPr>
          <w:rFonts w:eastAsia="宋体" w:cstheme="minorHAnsi"/>
          <w:kern w:val="0"/>
          <w:sz w:val="20"/>
          <w:szCs w:val="20"/>
        </w:rPr>
        <w:t xml:space="preserve"> agreement that:</w:t>
      </w:r>
    </w:p>
    <w:p w14:paraId="0B7C92A0" w14:textId="77777777" w:rsidR="00A95374" w:rsidRDefault="00E267B4">
      <w:pPr>
        <w:pStyle w:val="af2"/>
        <w:numPr>
          <w:ilvl w:val="0"/>
          <w:numId w:val="4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  <w:highlight w:val="green"/>
        </w:rPr>
        <w:t>The factor related to UL Duty cycle and P-MPR will not be applied for IAB-MT</w:t>
      </w:r>
    </w:p>
    <w:p w14:paraId="4511C0AB" w14:textId="77777777" w:rsidR="00A95374" w:rsidRDefault="00E267B4" w:rsidP="009F5890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  <w:highlight w:val="yellow"/>
        </w:rPr>
        <w:t>FFS on</w:t>
      </w:r>
      <w:r>
        <w:rPr>
          <w:rFonts w:ascii="Calibri" w:hAnsi="Calibri" w:cs="Calibri"/>
          <w:sz w:val="20"/>
          <w:szCs w:val="20"/>
        </w:rPr>
        <w:t xml:space="preserve"> </w:t>
      </w:r>
      <w:r w:rsidRPr="009F5890">
        <w:rPr>
          <w:rFonts w:ascii="Arial" w:hAnsi="Arial" w:cs="Arial"/>
          <w:sz w:val="18"/>
          <w:szCs w:val="18"/>
        </w:rPr>
        <w:t xml:space="preserve"> </w:t>
      </w:r>
    </w:p>
    <w:p w14:paraId="551930F8" w14:textId="24DBD70C" w:rsidR="00A95374" w:rsidRDefault="00E267B4">
      <w:pPr>
        <w:pStyle w:val="af2"/>
        <w:numPr>
          <w:ilvl w:val="0"/>
          <w:numId w:val="4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Whether there is problem if declaration covers maximum output power , related case with power reduction including MPR/AMPR, and relaxation due to multiple band and if all these aspects need to be covered.</w:t>
      </w:r>
    </w:p>
    <w:p w14:paraId="4278738F" w14:textId="08AA8CED" w:rsidR="00A95374" w:rsidRPr="009F5890" w:rsidRDefault="00E267B4">
      <w:pPr>
        <w:pStyle w:val="af2"/>
        <w:numPr>
          <w:ilvl w:val="0"/>
          <w:numId w:val="4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If and how PHR to be reflected in Pcmax </w:t>
      </w:r>
    </w:p>
    <w:p w14:paraId="0EDE13DF" w14:textId="77777777" w:rsidR="00E267B4" w:rsidRPr="0004780C" w:rsidRDefault="00E267B4" w:rsidP="00E267B4">
      <w:pPr>
        <w:pStyle w:val="af2"/>
        <w:numPr>
          <w:ilvl w:val="0"/>
          <w:numId w:val="4"/>
        </w:numPr>
        <w:ind w:firstLineChars="0"/>
        <w:rPr>
          <w:rFonts w:ascii="Calibri" w:hAnsi="Calibri" w:cs="Calibri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 xml:space="preserve">Possible differences between IAB-MT classes </w:t>
      </w:r>
    </w:p>
    <w:p w14:paraId="21F60A25" w14:textId="77777777" w:rsidR="00A95374" w:rsidRDefault="00E267B4" w:rsidP="009F5890">
      <w:pPr>
        <w:pStyle w:val="af2"/>
        <w:ind w:left="840" w:firstLineChars="0" w:firstLine="0"/>
        <w:rPr>
          <w:rFonts w:ascii="Calibri" w:hAnsi="Calibri" w:cs="Calibri"/>
          <w:sz w:val="20"/>
          <w:szCs w:val="20"/>
        </w:rPr>
      </w:pPr>
      <w:r>
        <w:rPr>
          <w:rFonts w:ascii="Arial" w:hAnsi="Arial" w:cs="Arial"/>
          <w:sz w:val="18"/>
          <w:szCs w:val="18"/>
        </w:rPr>
        <w:t>…</w:t>
      </w:r>
    </w:p>
    <w:p w14:paraId="76EFF512" w14:textId="77777777" w:rsidR="00A95374" w:rsidRDefault="00A95374">
      <w:pPr>
        <w:rPr>
          <w:b/>
        </w:rPr>
      </w:pPr>
    </w:p>
    <w:tbl>
      <w:tblPr>
        <w:tblStyle w:val="af1"/>
        <w:tblW w:w="6374" w:type="dxa"/>
        <w:tblLayout w:type="fixed"/>
        <w:tblLook w:val="04A0" w:firstRow="1" w:lastRow="0" w:firstColumn="1" w:lastColumn="0" w:noHBand="0" w:noVBand="1"/>
      </w:tblPr>
      <w:tblGrid>
        <w:gridCol w:w="2689"/>
        <w:gridCol w:w="3685"/>
      </w:tblGrid>
      <w:tr w:rsidR="009F5890" w14:paraId="3DD51393" w14:textId="77777777" w:rsidTr="009F5890">
        <w:tc>
          <w:tcPr>
            <w:tcW w:w="2689" w:type="dxa"/>
          </w:tcPr>
          <w:p w14:paraId="6E99A640" w14:textId="77777777" w:rsidR="009F5890" w:rsidRDefault="009F589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Factor in FR2 UE formula for 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cmac,f,c</w:t>
            </w:r>
          </w:p>
        </w:tc>
        <w:tc>
          <w:tcPr>
            <w:tcW w:w="3685" w:type="dxa"/>
          </w:tcPr>
          <w:p w14:paraId="178BE90D" w14:textId="77777777" w:rsidR="009F5890" w:rsidRDefault="009F589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Note for UE aspect</w:t>
            </w:r>
          </w:p>
        </w:tc>
      </w:tr>
      <w:tr w:rsidR="009F5890" w14:paraId="0C4D5A09" w14:textId="77777777" w:rsidTr="009F5890">
        <w:tc>
          <w:tcPr>
            <w:tcW w:w="2689" w:type="dxa"/>
          </w:tcPr>
          <w:p w14:paraId="325CCAA4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  <w:vertAlign w:val="subscript"/>
              </w:rPr>
              <w:t>Powerclass</w:t>
            </w:r>
            <w:r>
              <w:rPr>
                <w:rFonts w:ascii="Times New Roman" w:hAnsi="Times New Roman" w:cs="Times New Roman"/>
              </w:rPr>
              <w:t>/ EIRP</w:t>
            </w:r>
            <w:r>
              <w:rPr>
                <w:rFonts w:ascii="Times New Roman" w:hAnsi="Times New Roman" w:cs="Times New Roman"/>
                <w:vertAlign w:val="subscript"/>
              </w:rPr>
              <w:t>max</w:t>
            </w:r>
            <w:r>
              <w:rPr>
                <w:rFonts w:ascii="Times New Roman" w:hAnsi="Times New Roman" w:cs="Times New Roman"/>
              </w:rPr>
              <w:t>/ TRP</w:t>
            </w:r>
            <w:r>
              <w:rPr>
                <w:rFonts w:ascii="Times New Roman" w:hAnsi="Times New Roman" w:cs="Times New Roman"/>
                <w:vertAlign w:val="subscript"/>
              </w:rPr>
              <w:t>max</w:t>
            </w:r>
          </w:p>
        </w:tc>
        <w:tc>
          <w:tcPr>
            <w:tcW w:w="3685" w:type="dxa"/>
          </w:tcPr>
          <w:p w14:paraId="2CD6C00F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 power class related factors</w:t>
            </w:r>
          </w:p>
        </w:tc>
      </w:tr>
      <w:tr w:rsidR="009F5890" w14:paraId="68412577" w14:textId="77777777" w:rsidTr="009F5890">
        <w:tc>
          <w:tcPr>
            <w:tcW w:w="2689" w:type="dxa"/>
          </w:tcPr>
          <w:p w14:paraId="0E83BCF3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MPR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 and A-MPR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3685" w:type="dxa"/>
          </w:tcPr>
          <w:p w14:paraId="6EF47A29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Power reduction</w:t>
            </w:r>
          </w:p>
        </w:tc>
      </w:tr>
      <w:tr w:rsidR="009F5890" w14:paraId="4E040052" w14:textId="77777777" w:rsidTr="009F5890">
        <w:tc>
          <w:tcPr>
            <w:tcW w:w="2689" w:type="dxa"/>
          </w:tcPr>
          <w:p w14:paraId="26474529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</w:rPr>
              <w:t>ΔMB</w:t>
            </w:r>
            <w:r>
              <w:rPr>
                <w:rFonts w:ascii="Times New Roman" w:hAnsi="Times New Roman" w:cs="Times New Roman"/>
                <w:vertAlign w:val="subscript"/>
              </w:rPr>
              <w:t>P,n</w:t>
            </w:r>
          </w:p>
        </w:tc>
        <w:tc>
          <w:tcPr>
            <w:tcW w:w="3685" w:type="dxa"/>
          </w:tcPr>
          <w:p w14:paraId="17350433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 multi-band relaxation factors</w:t>
            </w:r>
          </w:p>
        </w:tc>
      </w:tr>
      <w:tr w:rsidR="009F5890" w14:paraId="7EFAB9D1" w14:textId="77777777" w:rsidTr="009F5890">
        <w:tc>
          <w:tcPr>
            <w:tcW w:w="2689" w:type="dxa"/>
          </w:tcPr>
          <w:p w14:paraId="0A8D2B0D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</w:rPr>
              <w:t>maxUplinkDutyCycle-FR2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85" w:type="dxa"/>
          </w:tcPr>
          <w:p w14:paraId="64B93C5B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F</w:t>
            </w:r>
            <w:r>
              <w:rPr>
                <w:rFonts w:ascii="Arial" w:hAnsi="Arial" w:cs="Arial"/>
                <w:sz w:val="18"/>
                <w:szCs w:val="18"/>
              </w:rPr>
              <w:t>or certain UE UL duty cycle</w:t>
            </w:r>
          </w:p>
        </w:tc>
      </w:tr>
      <w:tr w:rsidR="009F5890" w14:paraId="42A25BA7" w14:textId="77777777" w:rsidTr="009F5890">
        <w:tc>
          <w:tcPr>
            <w:tcW w:w="2689" w:type="dxa"/>
          </w:tcPr>
          <w:p w14:paraId="73B775AB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P-MPR</w:t>
            </w:r>
            <w:r>
              <w:rPr>
                <w:rFonts w:ascii="Arial" w:hAnsi="Arial" w:cs="Arial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3685" w:type="dxa"/>
          </w:tcPr>
          <w:p w14:paraId="602A0CF1" w14:textId="77777777" w:rsidR="009F5890" w:rsidRDefault="009F58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Mainly for MPE</w:t>
            </w:r>
          </w:p>
        </w:tc>
      </w:tr>
    </w:tbl>
    <w:p w14:paraId="69A2ECF5" w14:textId="77777777" w:rsidR="00A95374" w:rsidRDefault="00A95374">
      <w:pPr>
        <w:rPr>
          <w:sz w:val="20"/>
          <w:szCs w:val="20"/>
        </w:rPr>
      </w:pPr>
    </w:p>
    <w:p w14:paraId="2A69644C" w14:textId="77777777" w:rsidR="00A95374" w:rsidRDefault="00E267B4">
      <w:pPr>
        <w:pStyle w:val="1"/>
        <w:rPr>
          <w:rFonts w:cs="Arial"/>
          <w:lang w:eastAsia="zh-CN"/>
        </w:rPr>
      </w:pPr>
      <w:r>
        <w:rPr>
          <w:rFonts w:cs="Arial" w:hint="eastAsia"/>
          <w:lang w:eastAsia="zh-CN"/>
        </w:rPr>
        <w:t>Reference</w:t>
      </w:r>
    </w:p>
    <w:p w14:paraId="283983AA" w14:textId="77777777" w:rsidR="00A95374" w:rsidRDefault="00E267B4">
      <w:pPr>
        <w:rPr>
          <w:sz w:val="20"/>
          <w:szCs w:val="20"/>
        </w:rPr>
      </w:pPr>
      <w:r>
        <w:rPr>
          <w:sz w:val="20"/>
          <w:szCs w:val="20"/>
        </w:rPr>
        <w:t>[1] R4-2008697, Email discussion summary for</w:t>
      </w:r>
      <w:r>
        <w:rPr>
          <w:rFonts w:hint="eastAsia"/>
          <w:sz w:val="20"/>
          <w:szCs w:val="20"/>
        </w:rPr>
        <w:t xml:space="preserve"> </w:t>
      </w:r>
      <w:r>
        <w:rPr>
          <w:sz w:val="20"/>
          <w:szCs w:val="20"/>
        </w:rPr>
        <w:t>[95e][308] NR_IAB_RF_Part_1</w:t>
      </w:r>
    </w:p>
    <w:p w14:paraId="417CD23F" w14:textId="77777777" w:rsidR="00A95374" w:rsidRDefault="00E267B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</w:t>
      </w:r>
      <w:r>
        <w:rPr>
          <w:sz w:val="20"/>
          <w:szCs w:val="20"/>
        </w:rPr>
        <w:t>2] R4-2006282, Discussion on IAB-MT power related issues, CATT</w:t>
      </w:r>
    </w:p>
    <w:p w14:paraId="6C9A8B48" w14:textId="77777777" w:rsidR="00A95374" w:rsidRDefault="00E267B4">
      <w:pPr>
        <w:rPr>
          <w:sz w:val="20"/>
          <w:szCs w:val="20"/>
        </w:rPr>
      </w:pPr>
      <w:r>
        <w:rPr>
          <w:sz w:val="20"/>
          <w:szCs w:val="20"/>
        </w:rPr>
        <w:t xml:space="preserve">[3] </w:t>
      </w:r>
      <w:r>
        <w:rPr>
          <w:rFonts w:hint="eastAsia"/>
          <w:sz w:val="20"/>
          <w:szCs w:val="20"/>
        </w:rPr>
        <w:t>R4-2006800</w:t>
      </w:r>
      <w:r>
        <w:rPr>
          <w:sz w:val="20"/>
          <w:szCs w:val="20"/>
        </w:rPr>
        <w:t>, Further discussion on IAB-MT transmitter requirement</w:t>
      </w:r>
      <w:r>
        <w:rPr>
          <w:rFonts w:hint="eastAsia"/>
          <w:sz w:val="20"/>
          <w:szCs w:val="20"/>
        </w:rPr>
        <w:t>,</w:t>
      </w:r>
      <w:r>
        <w:rPr>
          <w:sz w:val="20"/>
          <w:szCs w:val="20"/>
        </w:rPr>
        <w:t xml:space="preserve"> Samsung</w:t>
      </w:r>
    </w:p>
    <w:p w14:paraId="7FDE4589" w14:textId="77777777" w:rsidR="00A95374" w:rsidRDefault="00E267B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</w:t>
      </w:r>
      <w:r>
        <w:rPr>
          <w:sz w:val="20"/>
          <w:szCs w:val="20"/>
        </w:rPr>
        <w:t>4]</w:t>
      </w:r>
      <w:r>
        <w:rPr>
          <w:rFonts w:hint="eastAsia"/>
          <w:sz w:val="20"/>
          <w:szCs w:val="20"/>
        </w:rPr>
        <w:t xml:space="preserve"> R4-2006931</w:t>
      </w:r>
      <w:r>
        <w:rPr>
          <w:sz w:val="20"/>
          <w:szCs w:val="20"/>
        </w:rPr>
        <w:t>, IAB-MT Tx power dynamic range and power control requirements, Nokia, Nokia Shanghai Bell</w:t>
      </w:r>
    </w:p>
    <w:p w14:paraId="0D1E86B1" w14:textId="77777777" w:rsidR="00A95374" w:rsidRDefault="00E267B4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[</w:t>
      </w:r>
      <w:r>
        <w:rPr>
          <w:sz w:val="20"/>
          <w:szCs w:val="20"/>
        </w:rPr>
        <w:t>5] R4-2007120, IAB-MT emission requirements, Nokia, Nokia Shanghai Bell</w:t>
      </w:r>
    </w:p>
    <w:p w14:paraId="6721F9C2" w14:textId="77777777" w:rsidR="00A95374" w:rsidRDefault="00E267B4">
      <w:pPr>
        <w:widowControl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14:paraId="1D776FEE" w14:textId="77777777" w:rsidR="00A95374" w:rsidRDefault="00E267B4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Annex A:  P</w:t>
      </w:r>
      <w:r>
        <w:rPr>
          <w:rFonts w:cs="Arial"/>
          <w:vertAlign w:val="subscript"/>
          <w:lang w:eastAsia="zh-CN"/>
        </w:rPr>
        <w:t>cmax,f,c</w:t>
      </w:r>
      <w:r>
        <w:rPr>
          <w:rFonts w:cs="Arial"/>
          <w:lang w:eastAsia="zh-CN"/>
        </w:rPr>
        <w:t xml:space="preserve"> definition in TS38.101-1</w:t>
      </w:r>
    </w:p>
    <w:p w14:paraId="0A0DB8E2" w14:textId="77777777" w:rsidR="00A95374" w:rsidRDefault="00E267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UE is allowed to set its configured maximum output power P</w:t>
      </w:r>
      <w:r>
        <w:rPr>
          <w:rFonts w:ascii="Times New Roman" w:hAnsi="Times New Roman" w:cs="Times New Roman"/>
          <w:vertAlign w:val="subscript"/>
        </w:rPr>
        <w:t>CMAX,f,c</w:t>
      </w:r>
      <w:r>
        <w:rPr>
          <w:rFonts w:ascii="Times New Roman" w:hAnsi="Times New Roman" w:cs="Times New Roman"/>
        </w:rPr>
        <w:t xml:space="preserve"> for carrier f of serving cell c in each slot. The configured maximum output power P</w:t>
      </w:r>
      <w:r>
        <w:rPr>
          <w:rFonts w:ascii="Times New Roman" w:hAnsi="Times New Roman" w:cs="Times New Roman"/>
          <w:vertAlign w:val="subscript"/>
        </w:rPr>
        <w:t>CMAX,f,c</w:t>
      </w:r>
      <w:r>
        <w:rPr>
          <w:rFonts w:ascii="Times New Roman" w:hAnsi="Times New Roman" w:cs="Times New Roman"/>
        </w:rPr>
        <w:t xml:space="preserve"> is set within the following bounds:</w:t>
      </w:r>
    </w:p>
    <w:p w14:paraId="4B7A6B27" w14:textId="77777777" w:rsidR="00A95374" w:rsidRDefault="00E267B4">
      <w:pPr>
        <w:pStyle w:val="EQ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>
        <w:rPr>
          <w:rFonts w:ascii="Times New Roman" w:hAnsi="Times New Roman"/>
          <w:vertAlign w:val="subscript"/>
        </w:rPr>
        <w:t>CMAX_L,f,c</w:t>
      </w:r>
      <w:r>
        <w:rPr>
          <w:rFonts w:ascii="Times New Roman" w:hAnsi="Times New Roman"/>
        </w:rPr>
        <w:t xml:space="preserve"> ≤  P</w:t>
      </w:r>
      <w:r>
        <w:rPr>
          <w:rFonts w:ascii="Times New Roman" w:hAnsi="Times New Roman"/>
          <w:vertAlign w:val="subscript"/>
        </w:rPr>
        <w:t>CMAX,f,c</w:t>
      </w:r>
      <w:r>
        <w:rPr>
          <w:rFonts w:ascii="Times New Roman" w:hAnsi="Times New Roman"/>
        </w:rPr>
        <w:t xml:space="preserve">  ≤  P</w:t>
      </w:r>
      <w:r>
        <w:rPr>
          <w:rFonts w:ascii="Times New Roman" w:hAnsi="Times New Roman"/>
          <w:vertAlign w:val="subscript"/>
        </w:rPr>
        <w:t>CMAX_H,f,c</w:t>
      </w:r>
      <w:r>
        <w:rPr>
          <w:rFonts w:ascii="Times New Roman" w:hAnsi="Times New Roman"/>
        </w:rPr>
        <w:t xml:space="preserve"> with</w:t>
      </w:r>
    </w:p>
    <w:p w14:paraId="326D81B9" w14:textId="77777777" w:rsidR="00A95374" w:rsidRDefault="00E267B4">
      <w:pPr>
        <w:pStyle w:val="EQ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ab/>
        <w:t>P</w:t>
      </w:r>
      <w:r>
        <w:rPr>
          <w:rFonts w:ascii="Times New Roman" w:hAnsi="Times New Roman"/>
          <w:vertAlign w:val="subscript"/>
        </w:rPr>
        <w:t>CMAX_L,f,c</w:t>
      </w:r>
      <w:r>
        <w:rPr>
          <w:rFonts w:ascii="Times New Roman" w:hAnsi="Times New Roman"/>
        </w:rPr>
        <w:t xml:space="preserve"> = MIN {P</w:t>
      </w:r>
      <w:r>
        <w:rPr>
          <w:rFonts w:ascii="Times New Roman" w:hAnsi="Times New Roman"/>
          <w:vertAlign w:val="subscript"/>
        </w:rPr>
        <w:t>EMAX,c</w:t>
      </w:r>
      <w:r>
        <w:rPr>
          <w:rFonts w:ascii="Times New Roman" w:hAnsi="Times New Roman"/>
        </w:rPr>
        <w:t>– ∆T</w:t>
      </w:r>
      <w:r>
        <w:rPr>
          <w:rFonts w:ascii="Times New Roman" w:hAnsi="Times New Roman"/>
          <w:vertAlign w:val="subscript"/>
        </w:rPr>
        <w:t>C,c</w:t>
      </w:r>
      <w:r>
        <w:rPr>
          <w:rFonts w:ascii="Times New Roman" w:hAnsi="Times New Roman"/>
        </w:rPr>
        <w:t>,  (P</w:t>
      </w:r>
      <w:r>
        <w:rPr>
          <w:rFonts w:ascii="Times New Roman" w:hAnsi="Times New Roman"/>
          <w:vertAlign w:val="subscript"/>
        </w:rPr>
        <w:t>PowerClass</w:t>
      </w:r>
      <w:r>
        <w:rPr>
          <w:rFonts w:ascii="Times New Roman" w:hAnsi="Times New Roman"/>
        </w:rPr>
        <w:t xml:space="preserve"> – ΔP</w:t>
      </w:r>
      <w:r>
        <w:rPr>
          <w:rFonts w:ascii="Times New Roman" w:hAnsi="Times New Roman"/>
          <w:vertAlign w:val="subscript"/>
        </w:rPr>
        <w:t>PowerClass</w:t>
      </w:r>
      <w:r>
        <w:rPr>
          <w:rFonts w:ascii="Times New Roman" w:hAnsi="Times New Roman"/>
        </w:rPr>
        <w:t>) – MAX(MAX(MPR</w:t>
      </w:r>
      <w:r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>, A-MPR</w:t>
      </w:r>
      <w:r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>)+ ΔT</w:t>
      </w:r>
      <w:r>
        <w:rPr>
          <w:rFonts w:ascii="Times New Roman" w:hAnsi="Times New Roman"/>
          <w:vertAlign w:val="subscript"/>
        </w:rPr>
        <w:t>IB,c</w:t>
      </w:r>
      <w:r>
        <w:rPr>
          <w:rFonts w:ascii="Times New Roman" w:hAnsi="Times New Roman"/>
        </w:rPr>
        <w:t xml:space="preserve"> + ∆T</w:t>
      </w:r>
      <w:r>
        <w:rPr>
          <w:rFonts w:ascii="Times New Roman" w:hAnsi="Times New Roman"/>
          <w:vertAlign w:val="subscript"/>
        </w:rPr>
        <w:t xml:space="preserve">C,c </w:t>
      </w:r>
      <w:r>
        <w:rPr>
          <w:rFonts w:ascii="Times New Roman" w:hAnsi="Times New Roman"/>
        </w:rPr>
        <w:t>+</w:t>
      </w:r>
      <w:r>
        <w:rPr>
          <w:rFonts w:ascii="Times New Roman" w:hAnsi="Times New Roman"/>
          <w:vertAlign w:val="subscript"/>
        </w:rPr>
        <w:t xml:space="preserve"> </w:t>
      </w:r>
      <w:r>
        <w:rPr>
          <w:rFonts w:ascii="Times New Roman" w:hAnsi="Times New Roman"/>
        </w:rPr>
        <w:t>∆T</w:t>
      </w:r>
      <w:r>
        <w:rPr>
          <w:rFonts w:ascii="Times New Roman" w:hAnsi="Times New Roman"/>
          <w:vertAlign w:val="subscript"/>
        </w:rPr>
        <w:t>RxSRS</w:t>
      </w:r>
      <w:r>
        <w:rPr>
          <w:rFonts w:ascii="Times New Roman" w:hAnsi="Times New Roman"/>
        </w:rPr>
        <w:t>, P-MPR</w:t>
      </w:r>
      <w:r>
        <w:rPr>
          <w:rFonts w:ascii="Times New Roman" w:hAnsi="Times New Roman"/>
          <w:vertAlign w:val="subscript"/>
        </w:rPr>
        <w:t>c</w:t>
      </w:r>
      <w:r>
        <w:rPr>
          <w:rFonts w:ascii="Times New Roman" w:hAnsi="Times New Roman"/>
        </w:rPr>
        <w:t>) }</w:t>
      </w:r>
    </w:p>
    <w:p w14:paraId="2E1665C8" w14:textId="77777777" w:rsidR="00A95374" w:rsidRDefault="00E267B4">
      <w:pPr>
        <w:pStyle w:val="EQ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>
        <w:rPr>
          <w:rFonts w:ascii="Times New Roman" w:hAnsi="Times New Roman"/>
          <w:vertAlign w:val="subscript"/>
        </w:rPr>
        <w:t>CMAX_H,f,c</w:t>
      </w:r>
      <w:r>
        <w:rPr>
          <w:rFonts w:ascii="Times New Roman" w:hAnsi="Times New Roman"/>
        </w:rPr>
        <w:t xml:space="preserve"> = MIN {P</w:t>
      </w:r>
      <w:r>
        <w:rPr>
          <w:rFonts w:ascii="Times New Roman" w:hAnsi="Times New Roman"/>
          <w:vertAlign w:val="subscript"/>
        </w:rPr>
        <w:t>EMAX,c</w:t>
      </w:r>
      <w:r>
        <w:rPr>
          <w:rFonts w:ascii="Times New Roman" w:hAnsi="Times New Roman"/>
        </w:rPr>
        <w:t>,  P</w:t>
      </w:r>
      <w:r>
        <w:rPr>
          <w:rFonts w:ascii="Times New Roman" w:hAnsi="Times New Roman"/>
          <w:vertAlign w:val="subscript"/>
        </w:rPr>
        <w:t>PowerClass</w:t>
      </w:r>
      <w:r>
        <w:rPr>
          <w:rFonts w:ascii="Times New Roman" w:hAnsi="Times New Roman"/>
        </w:rPr>
        <w:t xml:space="preserve"> – ΔP</w:t>
      </w:r>
      <w:r>
        <w:rPr>
          <w:rFonts w:ascii="Times New Roman" w:hAnsi="Times New Roman"/>
          <w:vertAlign w:val="subscript"/>
        </w:rPr>
        <w:t>PowerClass</w:t>
      </w:r>
      <w:r>
        <w:rPr>
          <w:rFonts w:ascii="Times New Roman" w:hAnsi="Times New Roman"/>
        </w:rPr>
        <w:t xml:space="preserve"> }</w:t>
      </w:r>
    </w:p>
    <w:p w14:paraId="2C4B7FC0" w14:textId="77777777" w:rsidR="00A95374" w:rsidRDefault="00E267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where</w:t>
      </w:r>
    </w:p>
    <w:p w14:paraId="6770B746" w14:textId="77777777" w:rsidR="00A95374" w:rsidRDefault="00E267B4">
      <w:pPr>
        <w:pStyle w:val="B1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EMAX,c</w:t>
      </w:r>
      <w:r>
        <w:rPr>
          <w:lang w:eastAsia="zh-CN"/>
        </w:rPr>
        <w:t xml:space="preserve"> is the value given by either the </w:t>
      </w:r>
      <w:r>
        <w:rPr>
          <w:i/>
          <w:lang w:eastAsia="zh-CN"/>
        </w:rPr>
        <w:t>p-Max</w:t>
      </w:r>
      <w:r>
        <w:rPr>
          <w:lang w:eastAsia="zh-CN"/>
        </w:rPr>
        <w:t xml:space="preserve"> IE or the field </w:t>
      </w:r>
      <w:r>
        <w:rPr>
          <w:i/>
          <w:lang w:eastAsia="zh-CN"/>
        </w:rPr>
        <w:t>additionalPmax</w:t>
      </w:r>
      <w:r>
        <w:rPr>
          <w:lang w:eastAsia="zh-CN"/>
        </w:rPr>
        <w:t xml:space="preserve"> of the </w:t>
      </w:r>
      <w:r>
        <w:rPr>
          <w:i/>
          <w:lang w:eastAsia="zh-CN"/>
        </w:rPr>
        <w:t>NR-NS-PmaxList IE</w:t>
      </w:r>
      <w:r>
        <w:rPr>
          <w:lang w:eastAsia="zh-CN"/>
        </w:rPr>
        <w:t>, whichever is applicable according to TS 38.331[7];</w:t>
      </w:r>
    </w:p>
    <w:p w14:paraId="6A33E00E" w14:textId="77777777" w:rsidR="00A95374" w:rsidRDefault="00E267B4">
      <w:pPr>
        <w:pStyle w:val="B1"/>
        <w:rPr>
          <w:lang w:eastAsia="zh-CN"/>
        </w:rPr>
      </w:pPr>
      <w:r>
        <w:rPr>
          <w:lang w:eastAsia="zh-CN"/>
        </w:rPr>
        <w:t>P</w:t>
      </w:r>
      <w:r>
        <w:rPr>
          <w:vertAlign w:val="subscript"/>
          <w:lang w:eastAsia="zh-CN"/>
        </w:rPr>
        <w:t>PowerClass</w:t>
      </w:r>
      <w:r>
        <w:rPr>
          <w:lang w:eastAsia="zh-CN"/>
        </w:rPr>
        <w:t xml:space="preserve"> is the maximum UE power specified in Table 6.2.1-1 without taking into account the tolerance specified in the Table 6.2.1-1;</w:t>
      </w:r>
    </w:p>
    <w:p w14:paraId="63275AF1" w14:textId="77777777" w:rsidR="00A95374" w:rsidRDefault="00E267B4">
      <w:pPr>
        <w:pStyle w:val="B1"/>
        <w:rPr>
          <w:lang w:eastAsia="zh-CN"/>
        </w:rPr>
      </w:pPr>
      <w:r>
        <w:rPr>
          <w:lang w:eastAsia="zh-CN"/>
        </w:rPr>
        <w:t xml:space="preserve">When  the IE </w:t>
      </w:r>
      <w:r>
        <w:rPr>
          <w:i/>
          <w:lang w:val="en-US" w:eastAsia="zh-CN"/>
        </w:rPr>
        <w:t>powerBoostPi2BPSK</w:t>
      </w:r>
      <w:r>
        <w:rPr>
          <w:lang w:eastAsia="zh-CN"/>
        </w:rPr>
        <w:t xml:space="preserve"> is set to 1, P</w:t>
      </w:r>
      <w:r>
        <w:rPr>
          <w:vertAlign w:val="subscript"/>
          <w:lang w:eastAsia="zh-CN"/>
        </w:rPr>
        <w:t>EMAX,c</w:t>
      </w:r>
      <w:r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>
        <w:rPr>
          <w:i/>
          <w:lang w:val="en-US" w:eastAsia="zh-CN"/>
        </w:rPr>
        <w:t>powerBoosting-pi2BPSK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and </w:t>
      </w:r>
      <w:r>
        <w:rPr>
          <w:rFonts w:eastAsia="MS Mincho"/>
        </w:rPr>
        <w:t>40% or less symbols in certain evaluation period are used for UL transmission</w:t>
      </w:r>
      <w:r>
        <w:rPr>
          <w:lang w:eastAsia="zh-CN"/>
        </w:rPr>
        <w:t xml:space="preserve"> when P</w:t>
      </w:r>
      <w:r>
        <w:rPr>
          <w:vertAlign w:val="subscript"/>
          <w:lang w:eastAsia="zh-CN"/>
        </w:rPr>
        <w:t xml:space="preserve">EMAX,c </w:t>
      </w:r>
      <w:r>
        <w:rPr>
          <w:lang w:eastAsia="zh-CN"/>
        </w:rPr>
        <w:t>≥ 20 dBm (The exact evaluation period is no less than one radio frame).</w:t>
      </w:r>
    </w:p>
    <w:p w14:paraId="77D8B1EE" w14:textId="77777777" w:rsidR="00A95374" w:rsidRDefault="00E267B4">
      <w:pPr>
        <w:pStyle w:val="B1"/>
        <w:rPr>
          <w:lang w:eastAsia="zh-CN"/>
        </w:rPr>
      </w:pPr>
      <w:r>
        <w:rPr>
          <w:lang w:eastAsia="zh-CN"/>
        </w:rPr>
        <w:t xml:space="preserve">When the IE </w:t>
      </w:r>
      <w:r>
        <w:rPr>
          <w:i/>
          <w:lang w:val="en-US" w:eastAsia="zh-CN"/>
        </w:rPr>
        <w:t>powerBoostPi2BPSK</w:t>
      </w:r>
      <w:r>
        <w:rPr>
          <w:lang w:eastAsia="zh-CN"/>
        </w:rPr>
        <w:t xml:space="preserve"> is set to 1, ΔP</w:t>
      </w:r>
      <w:r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>
        <w:rPr>
          <w:i/>
          <w:lang w:eastAsia="zh-CN"/>
        </w:rPr>
        <w:t>powerBoosting-pi2BPSK</w:t>
      </w:r>
      <w:r>
        <w:rPr>
          <w:lang w:eastAsia="zh-CN"/>
        </w:rPr>
        <w:t xml:space="preserve"> and 4</w:t>
      </w:r>
      <w:r>
        <w:rPr>
          <w:rFonts w:eastAsia="MS Mincho"/>
        </w:rPr>
        <w:t>0% or less slots in radio frame are used for UL transmission</w:t>
      </w:r>
      <w:r>
        <w:rPr>
          <w:lang w:eastAsia="zh-CN"/>
        </w:rPr>
        <w:t>.</w:t>
      </w:r>
    </w:p>
    <w:p w14:paraId="4F2EE442" w14:textId="77777777" w:rsidR="00A95374" w:rsidRDefault="00E267B4">
      <w:pPr>
        <w:pStyle w:val="B1"/>
        <w:rPr>
          <w:lang w:eastAsia="zh-CN"/>
        </w:rPr>
      </w:pPr>
      <w:r>
        <w:rPr>
          <w:lang w:eastAsia="zh-CN"/>
        </w:rPr>
        <w:t>ΔP</w:t>
      </w:r>
      <w:r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 3 dB for a power class 2 capable UE when P-max of 23 dBm or lower is indicated; or when the field of UE capability </w:t>
      </w:r>
      <w:r>
        <w:rPr>
          <w:i/>
          <w:iCs/>
          <w:lang w:eastAsia="zh-CN"/>
        </w:rPr>
        <w:t>maxUplinkDutyCycle</w:t>
      </w:r>
      <w:r>
        <w:rPr>
          <w:lang w:eastAsia="zh-CN"/>
        </w:rPr>
        <w:t xml:space="preserve"> is absent and the percentage of uplink symbols transmitted in a certain evalutation period is larger than 50%; or when the field of UE capability </w:t>
      </w:r>
      <w:r>
        <w:rPr>
          <w:i/>
          <w:iCs/>
          <w:lang w:eastAsia="zh-CN"/>
        </w:rPr>
        <w:t>maxUplinkDutyCycle</w:t>
      </w:r>
      <w:r>
        <w:rPr>
          <w:lang w:eastAsia="zh-CN"/>
        </w:rPr>
        <w:t xml:space="preserve"> is not absent and the percentage of uplink symbols transmitted in a certain evaluation period is larger than </w:t>
      </w:r>
      <w:r>
        <w:rPr>
          <w:i/>
          <w:iCs/>
          <w:lang w:eastAsia="zh-CN"/>
        </w:rPr>
        <w:t>maxUplinkDutyCycle</w:t>
      </w:r>
      <w:r>
        <w:rPr>
          <w:lang w:eastAsia="zh-CN"/>
        </w:rPr>
        <w:t xml:space="preserve"> as defined in TS 38.331 (The exact evaluation period is no less than one radio frame); otherwise ΔP</w:t>
      </w:r>
      <w:r>
        <w:rPr>
          <w:vertAlign w:val="subscript"/>
          <w:lang w:eastAsia="zh-CN"/>
        </w:rPr>
        <w:t>PowerClass</w:t>
      </w:r>
      <w:r>
        <w:rPr>
          <w:lang w:eastAsia="zh-CN"/>
        </w:rPr>
        <w:t xml:space="preserve"> = 0 dB;</w:t>
      </w:r>
    </w:p>
    <w:p w14:paraId="54F787ED" w14:textId="77777777" w:rsidR="00A95374" w:rsidRDefault="00E267B4">
      <w:pPr>
        <w:pStyle w:val="B1"/>
        <w:rPr>
          <w:lang w:eastAsia="zh-CN"/>
        </w:rPr>
      </w:pPr>
      <w:r>
        <w:rPr>
          <w:lang w:eastAsia="zh-CN"/>
        </w:rPr>
        <w:t>∆T</w:t>
      </w:r>
      <w:r>
        <w:rPr>
          <w:vertAlign w:val="subscript"/>
          <w:lang w:eastAsia="zh-CN"/>
        </w:rPr>
        <w:t>IB,c</w:t>
      </w:r>
      <w:r>
        <w:rPr>
          <w:lang w:eastAsia="zh-CN"/>
        </w:rPr>
        <w:t xml:space="preserve"> is the additional tolerance for serving cell c as specified in TS 38.101-3 subclause  6.2A.4.2 and 6.2B.4.2; ∆T</w:t>
      </w:r>
      <w:r>
        <w:rPr>
          <w:vertAlign w:val="subscript"/>
          <w:lang w:eastAsia="zh-CN"/>
        </w:rPr>
        <w:t>IB,c</w:t>
      </w:r>
      <w:r>
        <w:rPr>
          <w:lang w:eastAsia="zh-CN"/>
        </w:rPr>
        <w:t xml:space="preserve"> = 0 dB otherwise;</w:t>
      </w:r>
    </w:p>
    <w:p w14:paraId="372661AB" w14:textId="77777777" w:rsidR="00A95374" w:rsidRDefault="00E267B4">
      <w:pPr>
        <w:pStyle w:val="B1"/>
        <w:rPr>
          <w:lang w:eastAsia="zh-CN"/>
        </w:rPr>
      </w:pPr>
      <w:r>
        <w:rPr>
          <w:lang w:eastAsia="zh-CN"/>
        </w:rPr>
        <w:t>∆T</w:t>
      </w:r>
      <w:r>
        <w:rPr>
          <w:vertAlign w:val="subscript"/>
          <w:lang w:eastAsia="zh-CN"/>
        </w:rPr>
        <w:t>C,c</w:t>
      </w:r>
      <w:r>
        <w:rPr>
          <w:lang w:eastAsia="zh-CN"/>
        </w:rPr>
        <w:t xml:space="preserve"> = 1.5dB when NOTE 3 in Table 6.2.1-1 in 38.101-1 applies for a serving cell c, otherwise ∆T</w:t>
      </w:r>
      <w:r>
        <w:rPr>
          <w:vertAlign w:val="subscript"/>
          <w:lang w:eastAsia="zh-CN"/>
        </w:rPr>
        <w:t>C,c</w:t>
      </w:r>
      <w:r>
        <w:rPr>
          <w:lang w:eastAsia="zh-CN"/>
        </w:rPr>
        <w:t xml:space="preserve"> = 0 dB ;</w:t>
      </w:r>
    </w:p>
    <w:p w14:paraId="567DBD67" w14:textId="77777777" w:rsidR="00A95374" w:rsidRDefault="00E267B4">
      <w:pPr>
        <w:pStyle w:val="B1"/>
        <w:rPr>
          <w:lang w:eastAsia="zh-CN"/>
        </w:rPr>
      </w:pPr>
      <w:r>
        <w:rPr>
          <w:lang w:eastAsia="zh-CN"/>
        </w:rPr>
        <w:t>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 xml:space="preserve"> and A-MPR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 xml:space="preserve"> for serving cell c are specified in subclause 6.2.2 and subclause 6.2.3, respectively;</w:t>
      </w:r>
    </w:p>
    <w:p w14:paraId="30D801EB" w14:textId="77777777" w:rsidR="00A95374" w:rsidRDefault="00E267B4">
      <w:pPr>
        <w:pStyle w:val="B1"/>
      </w:pPr>
      <w:r>
        <w:t>∆T</w:t>
      </w:r>
      <w:r>
        <w:rPr>
          <w:vertAlign w:val="subscript"/>
        </w:rPr>
        <w:t>RxSRS</w:t>
      </w:r>
      <w:r>
        <w:t xml:space="preserve"> is applied when UE transmits SRS to other than first SRS port when the </w:t>
      </w:r>
      <w:r>
        <w:rPr>
          <w:i/>
        </w:rPr>
        <w:t>SRS-TxSwitch</w:t>
      </w:r>
      <w:r>
        <w:t xml:space="preserve"> capability is indicated as  '1T2R', '1T4R' or, '1T4R/2T4R' with UE configured with 4 SRS resources in the SRS resource set, and when UE transmits SRS to other than first or second SRS port when the </w:t>
      </w:r>
      <w:r>
        <w:rPr>
          <w:i/>
        </w:rPr>
        <w:t xml:space="preserve">SRS-TxSwitch </w:t>
      </w:r>
      <w:r>
        <w:t>capability</w:t>
      </w:r>
      <w:r>
        <w:rPr>
          <w:i/>
        </w:rPr>
        <w:t xml:space="preserve"> </w:t>
      </w:r>
      <w:r>
        <w:t>is indicated as</w:t>
      </w:r>
      <w:r>
        <w:rPr>
          <w:i/>
        </w:rPr>
        <w:t xml:space="preserve"> </w:t>
      </w:r>
      <w:r>
        <w:t xml:space="preserve"> '2T4R' or '1T4R/2T4R' with the UE configured with 2 SRS resources in the SRS resource set. The value of ∆T</w:t>
      </w:r>
      <w:r>
        <w:rPr>
          <w:vertAlign w:val="subscript"/>
        </w:rPr>
        <w:t>RxSRS</w:t>
      </w:r>
      <w:r>
        <w:t xml:space="preserve"> is 4.5dB for n79 and 3 dB for bands whose F</w:t>
      </w:r>
      <w:r>
        <w:rPr>
          <w:vertAlign w:val="subscript"/>
        </w:rPr>
        <w:t>UL_high</w:t>
      </w:r>
      <w:r>
        <w:t xml:space="preserve"> is lower than the F</w:t>
      </w:r>
      <w:r>
        <w:rPr>
          <w:vertAlign w:val="subscript"/>
        </w:rPr>
        <w:t xml:space="preserve">UL_low </w:t>
      </w:r>
      <w:r>
        <w:t>of n79.</w:t>
      </w:r>
    </w:p>
    <w:p w14:paraId="69CE649E" w14:textId="77777777" w:rsidR="00A95374" w:rsidRDefault="00E267B4">
      <w:pPr>
        <w:pStyle w:val="B2"/>
      </w:pPr>
      <w:r>
        <w:t>For other SRS transmissions ∆T</w:t>
      </w:r>
      <w:r>
        <w:rPr>
          <w:vertAlign w:val="subscript"/>
        </w:rPr>
        <w:t>RxSRS</w:t>
      </w:r>
      <w:r>
        <w:t xml:space="preserve"> is zero;</w:t>
      </w:r>
    </w:p>
    <w:p w14:paraId="2DF6EFD8" w14:textId="77777777" w:rsidR="00A95374" w:rsidRDefault="00E267B4">
      <w:pPr>
        <w:pStyle w:val="B1"/>
        <w:rPr>
          <w:lang w:eastAsia="zh-CN"/>
        </w:rPr>
      </w:pPr>
      <w:r>
        <w:rPr>
          <w:lang w:eastAsia="zh-CN"/>
        </w:rPr>
        <w:t>P-MPR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 xml:space="preserve"> is the allowed maximum output power reduction for</w:t>
      </w:r>
    </w:p>
    <w:p w14:paraId="755C0144" w14:textId="77777777" w:rsidR="00A95374" w:rsidRDefault="00E267B4">
      <w:pPr>
        <w:pStyle w:val="B2"/>
        <w:rPr>
          <w:lang w:eastAsia="zh-CN"/>
        </w:rPr>
      </w:pPr>
      <w:r>
        <w:rPr>
          <w:lang w:eastAsia="zh-CN"/>
        </w:rPr>
        <w:lastRenderedPageBreak/>
        <w:t>a)</w:t>
      </w:r>
      <w:r>
        <w:rPr>
          <w:lang w:eastAsia="zh-CN"/>
        </w:rPr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14:paraId="65A978B3" w14:textId="77777777" w:rsidR="00A95374" w:rsidRDefault="00E267B4">
      <w:pPr>
        <w:pStyle w:val="B2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ensuring compliance with applicable electromagnetic energy absorption requirements in case of proximity detection is used to address such requirements that require a lower maximum output power.</w:t>
      </w:r>
    </w:p>
    <w:p w14:paraId="3188538E" w14:textId="77777777" w:rsidR="00A95374" w:rsidRDefault="00E267B4">
      <w:pPr>
        <w:pStyle w:val="B1"/>
        <w:rPr>
          <w:lang w:eastAsia="zh-CN"/>
        </w:rPr>
      </w:pPr>
      <w:r>
        <w:rPr>
          <w:lang w:eastAsia="zh-CN"/>
        </w:rPr>
        <w:t>The UE shall apply P-MPR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 xml:space="preserve"> for serving cell c only for the above cases. For UE conducted conformance testing P-MPR</w:t>
      </w:r>
      <w:r>
        <w:rPr>
          <w:vertAlign w:val="subscript"/>
          <w:lang w:eastAsia="zh-CN"/>
        </w:rPr>
        <w:t>c</w:t>
      </w:r>
      <w:r>
        <w:rPr>
          <w:lang w:eastAsia="zh-CN"/>
        </w:rPr>
        <w:t xml:space="preserve"> shall be 0 dB</w:t>
      </w:r>
    </w:p>
    <w:p w14:paraId="55FA30F9" w14:textId="77777777" w:rsidR="00A95374" w:rsidRDefault="00E267B4">
      <w:pPr>
        <w:pStyle w:val="NO"/>
        <w:ind w:left="1418"/>
      </w:pPr>
      <w:r>
        <w:t>NOTE 1:</w:t>
      </w:r>
      <w:r>
        <w:tab/>
        <w:t>P-MPRc was introduced in the P</w:t>
      </w:r>
      <w:r>
        <w:rPr>
          <w:vertAlign w:val="subscript"/>
        </w:rPr>
        <w:t xml:space="preserve">CMAX,f,c </w:t>
      </w:r>
      <w:r>
        <w:t>equation such that the UE can report to the gNB the available maximum output transmit power. This information can be used by the gNB for scheduling decisions.</w:t>
      </w:r>
    </w:p>
    <w:p w14:paraId="7A3597BF" w14:textId="77777777" w:rsidR="00A95374" w:rsidRDefault="00E267B4">
      <w:pPr>
        <w:pStyle w:val="NO"/>
        <w:ind w:left="1418"/>
      </w:pPr>
      <w:r>
        <w:t>NOTE 2:</w:t>
      </w:r>
      <w:r>
        <w:tab/>
        <w:t>P-MPRc may impact the maximum uplink performance for the selected UL transmission path.</w:t>
      </w:r>
    </w:p>
    <w:p w14:paraId="750B6BAD" w14:textId="77777777" w:rsidR="00A95374" w:rsidRDefault="00A95374">
      <w:pPr>
        <w:rPr>
          <w:rFonts w:ascii="Times New Roman" w:hAnsi="Times New Roman" w:cs="Times New Roman"/>
        </w:rPr>
      </w:pPr>
    </w:p>
    <w:p w14:paraId="522EBE43" w14:textId="77777777" w:rsidR="00A95374" w:rsidRDefault="00E267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>
        <w:rPr>
          <w:rFonts w:ascii="Times New Roman" w:hAnsi="Times New Roman" w:cs="Times New Roman"/>
          <w:vertAlign w:val="subscript"/>
        </w:rPr>
        <w:t>REF</w:t>
      </w:r>
      <w:r>
        <w:rPr>
          <w:rFonts w:ascii="Times New Roman" w:hAnsi="Times New Roman" w:cs="Times New Roman"/>
        </w:rPr>
        <w:t xml:space="preserve"> and T</w:t>
      </w:r>
      <w:r>
        <w:rPr>
          <w:rFonts w:ascii="Times New Roman" w:hAnsi="Times New Roman" w:cs="Times New Roman"/>
          <w:vertAlign w:val="subscript"/>
        </w:rPr>
        <w:t>eval</w:t>
      </w:r>
      <w:r>
        <w:rPr>
          <w:rFonts w:ascii="Times New Roman" w:hAnsi="Times New Roman" w:cs="Times New Roman"/>
        </w:rPr>
        <w:t xml:space="preserve"> are specified in Table 6.2.4-1. For each T</w:t>
      </w:r>
      <w:r>
        <w:rPr>
          <w:rFonts w:ascii="Times New Roman" w:hAnsi="Times New Roman" w:cs="Times New Roman"/>
          <w:vertAlign w:val="subscript"/>
        </w:rPr>
        <w:t>REF</w:t>
      </w:r>
      <w:r>
        <w:rPr>
          <w:rFonts w:ascii="Times New Roman" w:hAnsi="Times New Roman" w:cs="Times New Roman"/>
        </w:rPr>
        <w:t>, the P</w:t>
      </w:r>
      <w:r>
        <w:rPr>
          <w:rFonts w:ascii="Times New Roman" w:hAnsi="Times New Roman" w:cs="Times New Roman"/>
          <w:vertAlign w:val="subscript"/>
        </w:rPr>
        <w:t>CMAX,L,c</w:t>
      </w:r>
      <w:r>
        <w:rPr>
          <w:rFonts w:ascii="Times New Roman" w:hAnsi="Times New Roman" w:cs="Times New Roman"/>
        </w:rPr>
        <w:t xml:space="preserve"> for serving cell c are evaluated per T</w:t>
      </w:r>
      <w:r>
        <w:rPr>
          <w:rFonts w:ascii="Times New Roman" w:hAnsi="Times New Roman" w:cs="Times New Roman"/>
          <w:vertAlign w:val="subscript"/>
        </w:rPr>
        <w:t>eval</w:t>
      </w:r>
      <w:r>
        <w:rPr>
          <w:rFonts w:ascii="Times New Roman" w:hAnsi="Times New Roman" w:cs="Times New Roman"/>
        </w:rPr>
        <w:t xml:space="preserve"> and given by the minimum  value taken over the transmission(s) within the T</w:t>
      </w:r>
      <w:r>
        <w:rPr>
          <w:rFonts w:ascii="Times New Roman" w:hAnsi="Times New Roman" w:cs="Times New Roman"/>
          <w:vertAlign w:val="subscript"/>
        </w:rPr>
        <w:t>eval</w:t>
      </w:r>
      <w:r>
        <w:rPr>
          <w:rFonts w:ascii="Times New Roman" w:hAnsi="Times New Roman" w:cs="Times New Roman"/>
        </w:rPr>
        <w:t>; the minimum P</w:t>
      </w:r>
      <w:r>
        <w:rPr>
          <w:rFonts w:ascii="Times New Roman" w:hAnsi="Times New Roman" w:cs="Times New Roman"/>
          <w:vertAlign w:val="subscript"/>
        </w:rPr>
        <w:t>CMAX_L,f,c</w:t>
      </w:r>
      <w:r>
        <w:rPr>
          <w:rFonts w:ascii="Times New Roman" w:hAnsi="Times New Roman" w:cs="Times New Roman"/>
        </w:rPr>
        <w:t xml:space="preserve"> over one or more T</w:t>
      </w:r>
      <w:r>
        <w:rPr>
          <w:rFonts w:ascii="Times New Roman" w:hAnsi="Times New Roman" w:cs="Times New Roman"/>
          <w:vertAlign w:val="subscript"/>
        </w:rPr>
        <w:t>eval</w:t>
      </w:r>
      <w:r>
        <w:rPr>
          <w:rFonts w:ascii="Times New Roman" w:hAnsi="Times New Roman" w:cs="Times New Roman"/>
        </w:rPr>
        <w:t xml:space="preserve"> is then applied for the entire T</w:t>
      </w:r>
      <w:r>
        <w:rPr>
          <w:rFonts w:ascii="Times New Roman" w:hAnsi="Times New Roman" w:cs="Times New Roman"/>
          <w:vertAlign w:val="subscript"/>
        </w:rPr>
        <w:t>REF</w:t>
      </w:r>
    </w:p>
    <w:p w14:paraId="6645F843" w14:textId="77777777" w:rsidR="00A95374" w:rsidRDefault="00E267B4">
      <w:pPr>
        <w:pStyle w:val="TH"/>
        <w:rPr>
          <w:rFonts w:eastAsia="Calibri"/>
          <w:lang w:val="en-US"/>
        </w:rPr>
      </w:pPr>
      <w:r>
        <w:rPr>
          <w:rFonts w:eastAsia="Calibri"/>
          <w:lang w:val="en-US"/>
        </w:rPr>
        <w:t>Table 6.2.4-1: Evaluation and reference periods for Pcmax</w:t>
      </w:r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A95374" w14:paraId="4B7F29A0" w14:textId="77777777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522012" w14:textId="77777777" w:rsidR="00A95374" w:rsidRDefault="00E267B4">
            <w:pPr>
              <w:pStyle w:val="TAH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5246F" w14:textId="77777777" w:rsidR="00A95374" w:rsidRDefault="00E267B4">
            <w:pPr>
              <w:pStyle w:val="TAH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vertAlign w:val="subscript"/>
              </w:rPr>
              <w:t>eval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3A49F" w14:textId="77777777" w:rsidR="00A95374" w:rsidRDefault="00E267B4">
            <w:pPr>
              <w:pStyle w:val="TAH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T</w:t>
            </w:r>
            <w:r>
              <w:rPr>
                <w:rFonts w:eastAsia="Calibri"/>
                <w:vertAlign w:val="subscript"/>
              </w:rPr>
              <w:t xml:space="preserve">eval </w:t>
            </w:r>
            <w:r>
              <w:rPr>
                <w:rFonts w:eastAsia="Calibri"/>
              </w:rPr>
              <w:t>with frequency hopping</w:t>
            </w:r>
          </w:p>
        </w:tc>
      </w:tr>
      <w:tr w:rsidR="00A95374" w14:paraId="1DD09D59" w14:textId="77777777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CAC00" w14:textId="77777777" w:rsidR="00A95374" w:rsidRDefault="00E267B4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F63C7" w14:textId="77777777" w:rsidR="00A95374" w:rsidRDefault="00E267B4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392B9" w14:textId="77777777" w:rsidR="00A95374" w:rsidRDefault="00E267B4">
            <w:pPr>
              <w:pStyle w:val="TAC"/>
              <w:rPr>
                <w:rFonts w:eastAsia="Calibri"/>
                <w:lang w:val="en-US"/>
              </w:rPr>
            </w:pPr>
            <w:r>
              <w:rPr>
                <w:rFonts w:eastAsia="Calibri"/>
              </w:rPr>
              <w:t>Min(</w:t>
            </w:r>
            <w:r>
              <w:rPr>
                <w:rFonts w:eastAsia="Calibri"/>
                <w:i/>
                <w:iCs/>
              </w:rPr>
              <w:t>T</w:t>
            </w:r>
            <w:r>
              <w:rPr>
                <w:rFonts w:eastAsia="Calibri"/>
                <w:i/>
                <w:iCs/>
                <w:vertAlign w:val="subscript"/>
              </w:rPr>
              <w:t>no_hopping</w:t>
            </w:r>
            <w:r>
              <w:rPr>
                <w:rFonts w:eastAsia="Calibri"/>
              </w:rPr>
              <w:t>, Physical Channel Length)</w:t>
            </w:r>
          </w:p>
        </w:tc>
      </w:tr>
    </w:tbl>
    <w:p w14:paraId="67312683" w14:textId="77777777" w:rsidR="00A95374" w:rsidRDefault="00A95374"/>
    <w:p w14:paraId="639F5EDB" w14:textId="77777777" w:rsidR="00A95374" w:rsidRDefault="00E267B4">
      <w:r>
        <w:t>The measured configured maximum output power P</w:t>
      </w:r>
      <w:r>
        <w:rPr>
          <w:vertAlign w:val="subscript"/>
        </w:rPr>
        <w:t>UMAX,f,c</w:t>
      </w:r>
      <w:r>
        <w:t xml:space="preserve"> shall be within the following bounds:</w:t>
      </w:r>
    </w:p>
    <w:p w14:paraId="7406EDA5" w14:textId="77777777" w:rsidR="00A95374" w:rsidRDefault="00E267B4">
      <w:pPr>
        <w:pStyle w:val="EQ"/>
      </w:pPr>
      <w:r>
        <w:tab/>
        <w:t>P</w:t>
      </w:r>
      <w:r>
        <w:rPr>
          <w:vertAlign w:val="subscript"/>
        </w:rPr>
        <w:t>CMAX_L,f,c</w:t>
      </w:r>
      <w:r>
        <w:t xml:space="preserve">  –  MAX{T</w:t>
      </w:r>
      <w:r>
        <w:rPr>
          <w:vertAlign w:val="subscript"/>
        </w:rPr>
        <w:t>L,c</w:t>
      </w:r>
      <w:r>
        <w:t>, T(P</w:t>
      </w:r>
      <w:r>
        <w:rPr>
          <w:vertAlign w:val="subscript"/>
        </w:rPr>
        <w:t>CMAX_L,f,c</w:t>
      </w:r>
      <w:r>
        <w:t>)}  ≤  P</w:t>
      </w:r>
      <w:r>
        <w:rPr>
          <w:vertAlign w:val="subscript"/>
        </w:rPr>
        <w:t>UMAX,f,c</w:t>
      </w:r>
      <w:r>
        <w:t xml:space="preserve">  ≤  P</w:t>
      </w:r>
      <w:r>
        <w:rPr>
          <w:vertAlign w:val="subscript"/>
        </w:rPr>
        <w:t>CMAX_H,f,c</w:t>
      </w:r>
      <w:r>
        <w:t xml:space="preserve">  +  T(P</w:t>
      </w:r>
      <w:r>
        <w:rPr>
          <w:vertAlign w:val="subscript"/>
        </w:rPr>
        <w:t>CMAX_H,f,c</w:t>
      </w:r>
      <w:r>
        <w:t>).</w:t>
      </w:r>
    </w:p>
    <w:p w14:paraId="48D7B6F8" w14:textId="77777777" w:rsidR="00A95374" w:rsidRDefault="00E267B4">
      <w:r>
        <w:t>where the tolerance T(P</w:t>
      </w:r>
      <w:r>
        <w:rPr>
          <w:vertAlign w:val="subscript"/>
        </w:rPr>
        <w:t>CMAX,f,c</w:t>
      </w:r>
      <w:r>
        <w:t>) for applicable values of P</w:t>
      </w:r>
      <w:r>
        <w:rPr>
          <w:vertAlign w:val="subscript"/>
        </w:rPr>
        <w:t>CMAX,f,c</w:t>
      </w:r>
      <w:r>
        <w:t xml:space="preserve"> is specified in Table 6.2.4-1. The tolerance T</w:t>
      </w:r>
      <w:r>
        <w:rPr>
          <w:vertAlign w:val="subscript"/>
        </w:rPr>
        <w:t>L,c</w:t>
      </w:r>
      <w:r>
        <w:t xml:space="preserve"> is the absolute value of the lower tolerance for the applicable operating band as specified in Table 6.2.1-1.</w:t>
      </w:r>
    </w:p>
    <w:p w14:paraId="169334D1" w14:textId="77777777" w:rsidR="00A95374" w:rsidRDefault="00E267B4">
      <w:pPr>
        <w:pStyle w:val="TH"/>
      </w:pPr>
      <w:r>
        <w:lastRenderedPageBreak/>
        <w:t>Table 6.2.4-1: P</w:t>
      </w:r>
      <w:r>
        <w:rPr>
          <w:vertAlign w:val="subscript"/>
        </w:rPr>
        <w:t>CMAX</w:t>
      </w:r>
      <w:r>
        <w:t xml:space="preserve"> tolerance</w:t>
      </w:r>
    </w:p>
    <w:tbl>
      <w:tblPr>
        <w:tblW w:w="47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8"/>
        <w:gridCol w:w="2613"/>
      </w:tblGrid>
      <w:tr w:rsidR="00A95374" w14:paraId="24AB905E" w14:textId="77777777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85DFEE8" w14:textId="77777777" w:rsidR="00A95374" w:rsidRDefault="00E267B4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CMAX,f,c</w:t>
            </w:r>
            <w:r>
              <w:t xml:space="preserve">  (dBm)</w:t>
            </w:r>
          </w:p>
        </w:tc>
        <w:tc>
          <w:tcPr>
            <w:tcW w:w="2613" w:type="dxa"/>
            <w:shd w:val="clear" w:color="auto" w:fill="auto"/>
          </w:tcPr>
          <w:p w14:paraId="3908E0F9" w14:textId="77777777" w:rsidR="00A95374" w:rsidRDefault="00E267B4">
            <w:pPr>
              <w:pStyle w:val="TAH"/>
            </w:pPr>
            <w:r>
              <w:t>Tolerance T(P</w:t>
            </w:r>
            <w:r>
              <w:rPr>
                <w:vertAlign w:val="subscript"/>
              </w:rPr>
              <w:t>CMAX,f,c</w:t>
            </w:r>
            <w:r>
              <w:t>) (dB)</w:t>
            </w:r>
          </w:p>
        </w:tc>
      </w:tr>
      <w:tr w:rsidR="00A95374" w14:paraId="295BAF83" w14:textId="77777777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4CE2CCE" w14:textId="77777777" w:rsidR="00A95374" w:rsidRDefault="00E267B4">
            <w:pPr>
              <w:pStyle w:val="TAC"/>
            </w:pPr>
            <w:r>
              <w:t>23 &lt; P</w:t>
            </w:r>
            <w:r>
              <w:rPr>
                <w:vertAlign w:val="subscript"/>
              </w:rPr>
              <w:t>CMAX,c</w:t>
            </w:r>
            <w:r>
              <w:t xml:space="preserve"> ≤ 33</w:t>
            </w:r>
          </w:p>
        </w:tc>
        <w:tc>
          <w:tcPr>
            <w:tcW w:w="2613" w:type="dxa"/>
            <w:shd w:val="clear" w:color="auto" w:fill="auto"/>
          </w:tcPr>
          <w:p w14:paraId="5499BFB0" w14:textId="77777777" w:rsidR="00A95374" w:rsidRDefault="00E267B4">
            <w:pPr>
              <w:pStyle w:val="TAC"/>
            </w:pPr>
            <w:r>
              <w:t>2.0</w:t>
            </w:r>
          </w:p>
        </w:tc>
      </w:tr>
      <w:tr w:rsidR="00A95374" w14:paraId="7BFE162D" w14:textId="77777777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3D68EFA2" w14:textId="77777777" w:rsidR="00A95374" w:rsidRDefault="00E267B4">
            <w:pPr>
              <w:pStyle w:val="TAC"/>
            </w:pPr>
            <w:r>
              <w:t>21 ≤ P</w:t>
            </w:r>
            <w:r>
              <w:rPr>
                <w:vertAlign w:val="subscript"/>
              </w:rPr>
              <w:t>CMAX,c</w:t>
            </w:r>
            <w:r>
              <w:t xml:space="preserve"> ≤ 23</w:t>
            </w:r>
          </w:p>
        </w:tc>
        <w:tc>
          <w:tcPr>
            <w:tcW w:w="2613" w:type="dxa"/>
            <w:shd w:val="clear" w:color="auto" w:fill="auto"/>
          </w:tcPr>
          <w:p w14:paraId="7DBDF8C8" w14:textId="77777777" w:rsidR="00A95374" w:rsidRDefault="00E267B4">
            <w:pPr>
              <w:pStyle w:val="TAC"/>
            </w:pPr>
            <w:r>
              <w:t>2.0</w:t>
            </w:r>
          </w:p>
        </w:tc>
      </w:tr>
      <w:tr w:rsidR="00A95374" w14:paraId="3B5D61F2" w14:textId="77777777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DA5B08F" w14:textId="77777777" w:rsidR="00A95374" w:rsidRDefault="00E267B4">
            <w:pPr>
              <w:pStyle w:val="TAC"/>
            </w:pPr>
            <w:r>
              <w:t>20 ≤ P</w:t>
            </w:r>
            <w:r>
              <w:rPr>
                <w:vertAlign w:val="subscript"/>
              </w:rPr>
              <w:t>CMAX,c</w:t>
            </w:r>
            <w:r>
              <w:t xml:space="preserve"> &lt; 21</w:t>
            </w:r>
          </w:p>
        </w:tc>
        <w:tc>
          <w:tcPr>
            <w:tcW w:w="2613" w:type="dxa"/>
            <w:shd w:val="clear" w:color="auto" w:fill="auto"/>
          </w:tcPr>
          <w:p w14:paraId="387353AA" w14:textId="77777777" w:rsidR="00A95374" w:rsidRDefault="00E267B4">
            <w:pPr>
              <w:pStyle w:val="TAC"/>
            </w:pPr>
            <w:r>
              <w:t>2.5</w:t>
            </w:r>
          </w:p>
        </w:tc>
      </w:tr>
      <w:tr w:rsidR="00A95374" w14:paraId="01D015E2" w14:textId="77777777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08835BCE" w14:textId="77777777" w:rsidR="00A95374" w:rsidRDefault="00E267B4">
            <w:pPr>
              <w:pStyle w:val="TAC"/>
            </w:pPr>
            <w:r>
              <w:t>19 ≤ P</w:t>
            </w:r>
            <w:r>
              <w:rPr>
                <w:vertAlign w:val="subscript"/>
              </w:rPr>
              <w:t>CMAX,c</w:t>
            </w:r>
            <w:r>
              <w:t xml:space="preserve"> &lt; 20</w:t>
            </w:r>
          </w:p>
        </w:tc>
        <w:tc>
          <w:tcPr>
            <w:tcW w:w="2613" w:type="dxa"/>
            <w:shd w:val="clear" w:color="auto" w:fill="auto"/>
          </w:tcPr>
          <w:p w14:paraId="3265ADFA" w14:textId="77777777" w:rsidR="00A95374" w:rsidRDefault="00E267B4">
            <w:pPr>
              <w:pStyle w:val="TAC"/>
            </w:pPr>
            <w:r>
              <w:t>3.5</w:t>
            </w:r>
          </w:p>
        </w:tc>
      </w:tr>
      <w:tr w:rsidR="00A95374" w14:paraId="5B62755F" w14:textId="77777777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6E42C36" w14:textId="77777777" w:rsidR="00A95374" w:rsidRDefault="00E267B4">
            <w:pPr>
              <w:pStyle w:val="TAC"/>
            </w:pPr>
            <w:r>
              <w:t>18 ≤ P</w:t>
            </w:r>
            <w:r>
              <w:rPr>
                <w:vertAlign w:val="subscript"/>
              </w:rPr>
              <w:t>CMAX,c</w:t>
            </w:r>
            <w:r>
              <w:t xml:space="preserve"> &lt; 19</w:t>
            </w:r>
          </w:p>
        </w:tc>
        <w:tc>
          <w:tcPr>
            <w:tcW w:w="2613" w:type="dxa"/>
            <w:shd w:val="clear" w:color="auto" w:fill="auto"/>
          </w:tcPr>
          <w:p w14:paraId="1A80D46F" w14:textId="77777777" w:rsidR="00A95374" w:rsidRDefault="00E267B4">
            <w:pPr>
              <w:pStyle w:val="TAC"/>
            </w:pPr>
            <w:r>
              <w:t>4.0</w:t>
            </w:r>
          </w:p>
        </w:tc>
      </w:tr>
      <w:tr w:rsidR="00A95374" w14:paraId="52EB6F4C" w14:textId="77777777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6B3DAF8D" w14:textId="77777777" w:rsidR="00A95374" w:rsidRDefault="00E267B4">
            <w:pPr>
              <w:pStyle w:val="TAC"/>
            </w:pPr>
            <w:r>
              <w:t>13 ≤ P</w:t>
            </w:r>
            <w:r>
              <w:rPr>
                <w:vertAlign w:val="subscript"/>
              </w:rPr>
              <w:t>CMAX,c</w:t>
            </w:r>
            <w:r>
              <w:t xml:space="preserve"> &lt; 18</w:t>
            </w:r>
          </w:p>
        </w:tc>
        <w:tc>
          <w:tcPr>
            <w:tcW w:w="2613" w:type="dxa"/>
            <w:shd w:val="clear" w:color="auto" w:fill="auto"/>
          </w:tcPr>
          <w:p w14:paraId="38849F98" w14:textId="77777777" w:rsidR="00A95374" w:rsidRDefault="00E267B4">
            <w:pPr>
              <w:pStyle w:val="TAC"/>
            </w:pPr>
            <w:r>
              <w:t>5.0</w:t>
            </w:r>
          </w:p>
        </w:tc>
      </w:tr>
      <w:tr w:rsidR="00A95374" w14:paraId="7605E64E" w14:textId="77777777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2D1991B9" w14:textId="77777777" w:rsidR="00A95374" w:rsidRDefault="00E267B4">
            <w:pPr>
              <w:pStyle w:val="TAC"/>
            </w:pPr>
            <w:r>
              <w:t>8 ≤ P</w:t>
            </w:r>
            <w:r>
              <w:rPr>
                <w:vertAlign w:val="subscript"/>
              </w:rPr>
              <w:t>CMAX,c</w:t>
            </w:r>
            <w:r>
              <w:t xml:space="preserve"> &lt; 13</w:t>
            </w:r>
          </w:p>
        </w:tc>
        <w:tc>
          <w:tcPr>
            <w:tcW w:w="2613" w:type="dxa"/>
            <w:shd w:val="clear" w:color="auto" w:fill="auto"/>
          </w:tcPr>
          <w:p w14:paraId="48F83B40" w14:textId="77777777" w:rsidR="00A95374" w:rsidRDefault="00E267B4">
            <w:pPr>
              <w:pStyle w:val="TAC"/>
            </w:pPr>
            <w:r>
              <w:t>6.0</w:t>
            </w:r>
          </w:p>
        </w:tc>
      </w:tr>
      <w:tr w:rsidR="00A95374" w14:paraId="141274C1" w14:textId="77777777">
        <w:trPr>
          <w:trHeight w:val="220"/>
          <w:jc w:val="center"/>
        </w:trPr>
        <w:tc>
          <w:tcPr>
            <w:tcW w:w="2148" w:type="dxa"/>
            <w:shd w:val="clear" w:color="auto" w:fill="auto"/>
          </w:tcPr>
          <w:p w14:paraId="5B61394B" w14:textId="77777777" w:rsidR="00A95374" w:rsidRDefault="00E267B4">
            <w:pPr>
              <w:pStyle w:val="TAC"/>
            </w:pPr>
            <w:r>
              <w:t>-40 ≤ P</w:t>
            </w:r>
            <w:r>
              <w:rPr>
                <w:vertAlign w:val="subscript"/>
              </w:rPr>
              <w:t>CMAX,c</w:t>
            </w:r>
            <w:r>
              <w:t xml:space="preserve"> &lt; 8</w:t>
            </w:r>
          </w:p>
        </w:tc>
        <w:tc>
          <w:tcPr>
            <w:tcW w:w="2613" w:type="dxa"/>
            <w:shd w:val="clear" w:color="auto" w:fill="auto"/>
          </w:tcPr>
          <w:p w14:paraId="3BDFCEEF" w14:textId="77777777" w:rsidR="00A95374" w:rsidRDefault="00E267B4">
            <w:pPr>
              <w:pStyle w:val="TAC"/>
            </w:pPr>
            <w:r>
              <w:t>7.0</w:t>
            </w:r>
          </w:p>
        </w:tc>
      </w:tr>
    </w:tbl>
    <w:p w14:paraId="2315BFFF" w14:textId="77777777" w:rsidR="00A95374" w:rsidRDefault="00A95374">
      <w:pPr>
        <w:rPr>
          <w:lang w:val="en-GB"/>
        </w:rPr>
      </w:pPr>
    </w:p>
    <w:p w14:paraId="14734FBD" w14:textId="77777777" w:rsidR="00A95374" w:rsidRDefault="00A95374">
      <w:pPr>
        <w:rPr>
          <w:lang w:val="en-GB"/>
        </w:rPr>
      </w:pPr>
    </w:p>
    <w:p w14:paraId="26C6BEAF" w14:textId="77777777" w:rsidR="00A95374" w:rsidRDefault="00E267B4">
      <w:pPr>
        <w:widowControl/>
        <w:jc w:val="left"/>
        <w:rPr>
          <w:rFonts w:ascii="Arial" w:eastAsia="宋体" w:hAnsi="Arial" w:cs="Arial"/>
          <w:kern w:val="0"/>
          <w:sz w:val="36"/>
          <w:szCs w:val="20"/>
          <w:lang w:val="en-GB"/>
        </w:rPr>
      </w:pPr>
      <w:r>
        <w:rPr>
          <w:rFonts w:cs="Arial"/>
        </w:rPr>
        <w:br w:type="page"/>
      </w:r>
    </w:p>
    <w:p w14:paraId="318DFBD1" w14:textId="77777777" w:rsidR="00A95374" w:rsidRDefault="00E267B4">
      <w:pPr>
        <w:pStyle w:val="1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Annex A:  P</w:t>
      </w:r>
      <w:r>
        <w:rPr>
          <w:rFonts w:cs="Arial"/>
          <w:vertAlign w:val="subscript"/>
          <w:lang w:eastAsia="zh-CN"/>
        </w:rPr>
        <w:t>cmax,f,c</w:t>
      </w:r>
      <w:r>
        <w:rPr>
          <w:rFonts w:cs="Arial"/>
          <w:lang w:eastAsia="zh-CN"/>
        </w:rPr>
        <w:t xml:space="preserve"> definition in TS38.101-2</w:t>
      </w:r>
    </w:p>
    <w:p w14:paraId="2F025C44" w14:textId="77777777" w:rsidR="00A95374" w:rsidRDefault="00E267B4">
      <w:pPr>
        <w:pStyle w:val="3"/>
      </w:pPr>
      <w:bookmarkStart w:id="4" w:name="_Toc21340781"/>
      <w:bookmarkStart w:id="5" w:name="_Hlk528842194"/>
      <w:r>
        <w:t>6.2.4</w:t>
      </w:r>
      <w:r>
        <w:tab/>
        <w:t>Configured transmitted power</w:t>
      </w:r>
      <w:bookmarkEnd w:id="4"/>
    </w:p>
    <w:p w14:paraId="089A604B" w14:textId="77777777" w:rsidR="00A95374" w:rsidRDefault="00E267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UE can configure its maximum output power. The configured UE maximum output power P</w:t>
      </w:r>
      <w:r>
        <w:rPr>
          <w:rFonts w:ascii="Times New Roman" w:hAnsi="Times New Roman" w:cs="Times New Roman"/>
          <w:vertAlign w:val="subscript"/>
        </w:rPr>
        <w:t>CMAX,f,c</w:t>
      </w:r>
      <w:r>
        <w:rPr>
          <w:rFonts w:ascii="Times New Roman" w:hAnsi="Times New Roman" w:cs="Times New Roman"/>
        </w:rPr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14:paraId="256CCA94" w14:textId="77777777" w:rsidR="00A95374" w:rsidRDefault="00E267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configured UE maximum output power P</w:t>
      </w:r>
      <w:r>
        <w:rPr>
          <w:rFonts w:ascii="Times New Roman" w:hAnsi="Times New Roman" w:cs="Times New Roman"/>
          <w:vertAlign w:val="subscript"/>
        </w:rPr>
        <w:t>CMAX,f,c</w:t>
      </w:r>
      <w:r>
        <w:rPr>
          <w:rFonts w:ascii="Times New Roman" w:hAnsi="Times New Roman" w:cs="Times New Roman"/>
        </w:rPr>
        <w:t xml:space="preserve"> for carrier 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 of a serving cell 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 xml:space="preserve"> shall be set such that the corresponding measured peak EIRP P</w:t>
      </w:r>
      <w:r>
        <w:rPr>
          <w:rFonts w:ascii="Times New Roman" w:hAnsi="Times New Roman" w:cs="Times New Roman"/>
          <w:vertAlign w:val="subscript"/>
        </w:rPr>
        <w:t>UMAX,f,c</w:t>
      </w:r>
      <w:r>
        <w:rPr>
          <w:rFonts w:ascii="Times New Roman" w:hAnsi="Times New Roman" w:cs="Times New Roman"/>
        </w:rPr>
        <w:t xml:space="preserve"> is within the following bounds</w:t>
      </w:r>
    </w:p>
    <w:p w14:paraId="59A4657B" w14:textId="77777777" w:rsidR="00A95374" w:rsidRDefault="00E267B4">
      <w:pPr>
        <w:pStyle w:val="EQ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>
        <w:rPr>
          <w:rFonts w:ascii="Times New Roman" w:hAnsi="Times New Roman"/>
          <w:vertAlign w:val="subscript"/>
        </w:rPr>
        <w:t>Powerclass</w:t>
      </w:r>
      <w:r>
        <w:rPr>
          <w:rFonts w:ascii="Times New Roman" w:hAnsi="Times New Roman"/>
        </w:rPr>
        <w:t xml:space="preserve"> – MAX(MAX(MPR</w:t>
      </w:r>
      <w:r>
        <w:rPr>
          <w:rFonts w:ascii="Times New Roman" w:hAnsi="Times New Roman"/>
          <w:vertAlign w:val="subscript"/>
        </w:rPr>
        <w:t>f,c</w:t>
      </w:r>
      <w:r>
        <w:rPr>
          <w:rFonts w:ascii="Times New Roman" w:hAnsi="Times New Roman"/>
        </w:rPr>
        <w:t>, A- MPR</w:t>
      </w:r>
      <w:r>
        <w:rPr>
          <w:rFonts w:ascii="Times New Roman" w:hAnsi="Times New Roman"/>
          <w:vertAlign w:val="subscript"/>
        </w:rPr>
        <w:t>f,c</w:t>
      </w:r>
      <w:r>
        <w:rPr>
          <w:rFonts w:ascii="Times New Roman" w:hAnsi="Times New Roman"/>
        </w:rPr>
        <w:t>,) + ΔMB</w:t>
      </w:r>
      <w:r>
        <w:rPr>
          <w:rFonts w:ascii="Times New Roman" w:hAnsi="Times New Roman"/>
          <w:vertAlign w:val="subscript"/>
        </w:rPr>
        <w:t>P,n</w:t>
      </w:r>
      <w:r>
        <w:rPr>
          <w:rFonts w:ascii="Times New Roman" w:hAnsi="Times New Roman"/>
        </w:rPr>
        <w:t>, P-MPR</w:t>
      </w:r>
      <w:r>
        <w:rPr>
          <w:rFonts w:ascii="Times New Roman" w:hAnsi="Times New Roman"/>
          <w:vertAlign w:val="subscript"/>
        </w:rPr>
        <w:t>f,c</w:t>
      </w:r>
      <w:r>
        <w:rPr>
          <w:rFonts w:ascii="Times New Roman" w:hAnsi="Times New Roman"/>
        </w:rPr>
        <w:t>) – MAX{T(MAX(MPR</w:t>
      </w:r>
      <w:r>
        <w:rPr>
          <w:rFonts w:ascii="Times New Roman" w:hAnsi="Times New Roman"/>
          <w:vertAlign w:val="subscript"/>
        </w:rPr>
        <w:t>f,c</w:t>
      </w:r>
      <w:r>
        <w:rPr>
          <w:rFonts w:ascii="Times New Roman" w:hAnsi="Times New Roman"/>
        </w:rPr>
        <w:t>, A- MPR</w:t>
      </w:r>
      <w:r>
        <w:rPr>
          <w:rFonts w:ascii="Times New Roman" w:hAnsi="Times New Roman"/>
          <w:vertAlign w:val="subscript"/>
        </w:rPr>
        <w:t>f,c</w:t>
      </w:r>
      <w:r>
        <w:rPr>
          <w:rFonts w:ascii="Times New Roman" w:hAnsi="Times New Roman"/>
        </w:rPr>
        <w:t>,)), T(P-MPR</w:t>
      </w:r>
      <w:r>
        <w:rPr>
          <w:rFonts w:ascii="Times New Roman" w:hAnsi="Times New Roman"/>
          <w:vertAlign w:val="subscript"/>
        </w:rPr>
        <w:t>f,c</w:t>
      </w:r>
      <w:r>
        <w:rPr>
          <w:rFonts w:ascii="Times New Roman" w:hAnsi="Times New Roman"/>
        </w:rPr>
        <w:t>)} ≤ P</w:t>
      </w:r>
      <w:r>
        <w:rPr>
          <w:rFonts w:ascii="Times New Roman" w:hAnsi="Times New Roman"/>
          <w:vertAlign w:val="subscript"/>
        </w:rPr>
        <w:t>UMAX,f,c</w:t>
      </w:r>
      <w:r>
        <w:rPr>
          <w:rFonts w:ascii="Times New Roman" w:hAnsi="Times New Roman"/>
        </w:rPr>
        <w:t xml:space="preserve"> ≤ EIRP</w:t>
      </w:r>
      <w:r>
        <w:rPr>
          <w:rFonts w:ascii="Times New Roman" w:hAnsi="Times New Roman"/>
          <w:vertAlign w:val="subscript"/>
        </w:rPr>
        <w:t>max</w:t>
      </w:r>
    </w:p>
    <w:p w14:paraId="12D61819" w14:textId="77777777" w:rsidR="00A95374" w:rsidRDefault="00E267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while the corresponding measured total radiated power P</w:t>
      </w:r>
      <w:r>
        <w:rPr>
          <w:rFonts w:ascii="Times New Roman" w:hAnsi="Times New Roman" w:cs="Times New Roman"/>
          <w:vertAlign w:val="subscript"/>
        </w:rPr>
        <w:t>TMAX,f,c</w:t>
      </w:r>
      <w:r>
        <w:rPr>
          <w:rFonts w:ascii="Times New Roman" w:hAnsi="Times New Roman" w:cs="Times New Roman"/>
        </w:rPr>
        <w:t xml:space="preserve"> is bounded by</w:t>
      </w:r>
    </w:p>
    <w:p w14:paraId="3A672696" w14:textId="77777777" w:rsidR="00A95374" w:rsidRDefault="00E267B4">
      <w:pPr>
        <w:pStyle w:val="EQ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</w:t>
      </w:r>
      <w:r>
        <w:rPr>
          <w:rFonts w:ascii="Times New Roman" w:hAnsi="Times New Roman"/>
          <w:vertAlign w:val="subscript"/>
        </w:rPr>
        <w:t>TMAX,f,c</w:t>
      </w:r>
      <w:r>
        <w:rPr>
          <w:rFonts w:ascii="Times New Roman" w:hAnsi="Times New Roman"/>
        </w:rPr>
        <w:t xml:space="preserve"> ≤ TRP</w:t>
      </w:r>
      <w:r>
        <w:rPr>
          <w:rFonts w:ascii="Times New Roman" w:hAnsi="Times New Roman"/>
          <w:vertAlign w:val="subscript"/>
        </w:rPr>
        <w:t>max</w:t>
      </w:r>
    </w:p>
    <w:p w14:paraId="2240287A" w14:textId="77777777" w:rsidR="00A95374" w:rsidRDefault="00E267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with P</w:t>
      </w:r>
      <w:r>
        <w:rPr>
          <w:rFonts w:ascii="Times New Roman" w:hAnsi="Times New Roman" w:cs="Times New Roman"/>
          <w:vertAlign w:val="subscript"/>
        </w:rPr>
        <w:t>Powerclass</w:t>
      </w:r>
      <w:r>
        <w:rPr>
          <w:rFonts w:ascii="Times New Roman" w:hAnsi="Times New Roman" w:cs="Times New Roman"/>
        </w:rPr>
        <w:t xml:space="preserve"> the UE power class as specified in sub-clause 6.2.1, EIRP</w:t>
      </w:r>
      <w:r>
        <w:rPr>
          <w:rFonts w:ascii="Times New Roman" w:hAnsi="Times New Roman" w:cs="Times New Roman"/>
          <w:vertAlign w:val="subscript"/>
        </w:rPr>
        <w:t>max</w:t>
      </w:r>
      <w:r>
        <w:rPr>
          <w:rFonts w:ascii="Times New Roman" w:hAnsi="Times New Roman" w:cs="Times New Roman"/>
        </w:rPr>
        <w:t xml:space="preserve"> the applicable maximum EIRP as specified in sub-clause 6.2.1, MPR</w:t>
      </w:r>
      <w:r>
        <w:rPr>
          <w:rFonts w:ascii="Times New Roman" w:hAnsi="Times New Roman" w:cs="Times New Roman"/>
          <w:vertAlign w:val="subscript"/>
        </w:rPr>
        <w:t>f,c</w:t>
      </w:r>
      <w:r>
        <w:rPr>
          <w:rFonts w:ascii="Times New Roman" w:hAnsi="Times New Roman" w:cs="Times New Roman"/>
        </w:rPr>
        <w:t xml:space="preserve"> as specified in sub-clause 6.2.2 , A-MPR</w:t>
      </w:r>
      <w:r>
        <w:rPr>
          <w:rFonts w:ascii="Times New Roman" w:hAnsi="Times New Roman" w:cs="Times New Roman"/>
          <w:vertAlign w:val="subscript"/>
        </w:rPr>
        <w:t>f,c</w:t>
      </w:r>
      <w:r>
        <w:rPr>
          <w:rFonts w:ascii="Times New Roman" w:hAnsi="Times New Roman" w:cs="Times New Roman"/>
        </w:rPr>
        <w:t xml:space="preserve"> as specified in sub-clause 6.2.3, ΔMB</w:t>
      </w:r>
      <w:r>
        <w:rPr>
          <w:rFonts w:ascii="Times New Roman" w:hAnsi="Times New Roman" w:cs="Times New Roman"/>
          <w:vertAlign w:val="subscript"/>
        </w:rPr>
        <w:t>P,n</w:t>
      </w:r>
      <w:r>
        <w:rPr>
          <w:rFonts w:ascii="Times New Roman" w:hAnsi="Times New Roman" w:cs="Times New Roman"/>
        </w:rPr>
        <w:t xml:space="preserve"> the peak EIRP relaxation as specified in section 6.2.1 and TRP</w:t>
      </w:r>
      <w:r>
        <w:rPr>
          <w:rFonts w:ascii="Times New Roman" w:hAnsi="Times New Roman" w:cs="Times New Roman"/>
          <w:vertAlign w:val="subscript"/>
        </w:rPr>
        <w:t>max</w:t>
      </w:r>
      <w:r>
        <w:rPr>
          <w:rFonts w:ascii="Times New Roman" w:hAnsi="Times New Roman" w:cs="Times New Roman"/>
        </w:rPr>
        <w:t xml:space="preserve"> the maximum TRP for the UE power class as specified in sub-clause 6.2.1. </w:t>
      </w:r>
    </w:p>
    <w:p w14:paraId="125D9DF3" w14:textId="77777777" w:rsidR="00A95374" w:rsidRDefault="00E267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maxUplinkDutyCycle-FR2,</w:t>
      </w:r>
      <w:r>
        <w:rPr>
          <w:rFonts w:ascii="Times New Roman" w:hAnsi="Times New Roman" w:cs="Times New Roman"/>
        </w:rPr>
        <w:t xml:space="preserve"> as defined in TS 38.306 [14], is a UE capability to facilitate electromagnetic power density exposure requirements. This UE capability is applicable to all FR2 power classes.</w:t>
      </w:r>
    </w:p>
    <w:p w14:paraId="2C812DA6" w14:textId="77777777" w:rsidR="00A95374" w:rsidRDefault="00E267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the field of UE capability </w:t>
      </w:r>
      <w:r>
        <w:rPr>
          <w:rFonts w:ascii="Times New Roman" w:hAnsi="Times New Roman" w:cs="Times New Roman"/>
          <w:i/>
        </w:rPr>
        <w:t>maxUplinkDutyCycle-FR2</w:t>
      </w:r>
      <w:r>
        <w:rPr>
          <w:rFonts w:ascii="Times New Roman" w:hAnsi="Times New Roman" w:cs="Times New Roman"/>
        </w:rPr>
        <w:t xml:space="preserve"> is present and the percentage of uplink symbols transmitted within any 1 s evaluation period is larger than </w:t>
      </w:r>
      <w:r>
        <w:rPr>
          <w:rFonts w:ascii="Times New Roman" w:hAnsi="Times New Roman" w:cs="Times New Roman"/>
          <w:i/>
        </w:rPr>
        <w:t>maxUplinkDutyCycle-FR2</w:t>
      </w:r>
      <w:r>
        <w:rPr>
          <w:rFonts w:ascii="Times New Roman" w:hAnsi="Times New Roman" w:cs="Times New Roman"/>
        </w:rPr>
        <w:t>, the UE follows the uplink scheduling and can apply P-MPR</w:t>
      </w:r>
      <w:r>
        <w:rPr>
          <w:rFonts w:ascii="Times New Roman" w:hAnsi="Times New Roman" w:cs="Times New Roman"/>
          <w:vertAlign w:val="subscript"/>
        </w:rPr>
        <w:t>f,c</w:t>
      </w:r>
      <w:r>
        <w:rPr>
          <w:rFonts w:ascii="Times New Roman" w:hAnsi="Times New Roman" w:cs="Times New Roman"/>
        </w:rPr>
        <w:t>.</w:t>
      </w:r>
    </w:p>
    <w:p w14:paraId="72C0FFE2" w14:textId="77777777" w:rsidR="00A95374" w:rsidRDefault="00E267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the field of UE capability </w:t>
      </w:r>
      <w:r>
        <w:rPr>
          <w:rFonts w:ascii="Times New Roman" w:hAnsi="Times New Roman" w:cs="Times New Roman"/>
          <w:i/>
        </w:rPr>
        <w:t>maxUplinkDutyCycle-FR2</w:t>
      </w:r>
      <w:r>
        <w:rPr>
          <w:rFonts w:ascii="Times New Roman" w:hAnsi="Times New Roman" w:cs="Times New Roman"/>
        </w:rPr>
        <w:t xml:space="preserve"> is absent, the compliance to electromagnetic power density exposure requirements are ensured by means of scaling down the power density or by other means. </w:t>
      </w:r>
    </w:p>
    <w:p w14:paraId="71258559" w14:textId="77777777" w:rsidR="00A95374" w:rsidRDefault="00E267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P-MPR</w:t>
      </w:r>
      <w:r>
        <w:rPr>
          <w:rFonts w:ascii="Times New Roman" w:hAnsi="Times New Roman" w:cs="Times New Roman"/>
          <w:vertAlign w:val="subscript"/>
        </w:rPr>
        <w:t>f,c</w:t>
      </w:r>
      <w:r>
        <w:rPr>
          <w:rFonts w:ascii="Times New Roman" w:hAnsi="Times New Roman" w:cs="Times New Roman"/>
        </w:rPr>
        <w:t xml:space="preserve"> is the allowed maximum output power reduction. The UE shall apply P-MPR</w:t>
      </w:r>
      <w:r>
        <w:rPr>
          <w:rFonts w:ascii="Times New Roman" w:hAnsi="Times New Roman" w:cs="Times New Roman"/>
          <w:vertAlign w:val="subscript"/>
        </w:rPr>
        <w:t>f,c</w:t>
      </w:r>
      <w:r>
        <w:rPr>
          <w:rFonts w:ascii="Times New Roman" w:hAnsi="Times New Roman" w:cs="Times New Roman"/>
        </w:rPr>
        <w:t xml:space="preserve"> for carrier f of serving cell c only for the cases described below. For UE conformance testing P-MPR</w:t>
      </w:r>
      <w:r>
        <w:rPr>
          <w:rFonts w:ascii="Times New Roman" w:hAnsi="Times New Roman" w:cs="Times New Roman"/>
          <w:vertAlign w:val="subscript"/>
        </w:rPr>
        <w:t>f,c</w:t>
      </w:r>
      <w:r>
        <w:rPr>
          <w:rFonts w:ascii="Times New Roman" w:hAnsi="Times New Roman" w:cs="Times New Roman"/>
        </w:rPr>
        <w:t xml:space="preserve"> shall be 0 dB.</w:t>
      </w:r>
    </w:p>
    <w:p w14:paraId="47799819" w14:textId="77777777" w:rsidR="00A95374" w:rsidRDefault="00E267B4">
      <w:pPr>
        <w:pStyle w:val="B1"/>
      </w:pPr>
      <w:r>
        <w:t>a)</w:t>
      </w:r>
      <w:r>
        <w:tab/>
        <w:t>ensuring compliance with applicable electromagnetic power density exposure requirements and addressing unwanted emissions / self desense requirements in case of simultaneous transmissions on multiple RAT(s) for scenarios not in scope of 3GPP RAN specifications;</w:t>
      </w:r>
    </w:p>
    <w:p w14:paraId="1ECCDF29" w14:textId="77777777" w:rsidR="00A95374" w:rsidRDefault="00E267B4">
      <w:pPr>
        <w:pStyle w:val="B1"/>
      </w:pPr>
      <w:r>
        <w:t>b)</w:t>
      </w:r>
      <w:r>
        <w:tab/>
        <w:t>ensuring compliance with applicable electromagnetic power density exposure requirements in case of proximity detection is used to address such requirements that require a lower maximum output power.</w:t>
      </w:r>
    </w:p>
    <w:p w14:paraId="3499E6D6" w14:textId="77777777" w:rsidR="00A95374" w:rsidRDefault="00E267B4">
      <w:pPr>
        <w:pStyle w:val="NW"/>
      </w:pPr>
      <w:r>
        <w:t>NOTE 1:</w:t>
      </w:r>
      <w:r>
        <w:tab/>
        <w:t>P-MPR</w:t>
      </w:r>
      <w:r>
        <w:rPr>
          <w:vertAlign w:val="subscript"/>
        </w:rPr>
        <w:t>f,c</w:t>
      </w:r>
      <w:r>
        <w:t xml:space="preserve">  was introduced in the P</w:t>
      </w:r>
      <w:r>
        <w:rPr>
          <w:vertAlign w:val="subscript"/>
        </w:rPr>
        <w:t>CMAX,f,c</w:t>
      </w:r>
      <w:r>
        <w:t xml:space="preserve"> equation such that the UE can report to the gNB the available maximum output transmit power. This information can be used by the gNB for scheduling decisions.</w:t>
      </w:r>
    </w:p>
    <w:p w14:paraId="0F396966" w14:textId="77777777" w:rsidR="00A95374" w:rsidRDefault="00E267B4">
      <w:pPr>
        <w:pStyle w:val="NW"/>
      </w:pPr>
      <w:r>
        <w:t>NOTE 2:</w:t>
      </w:r>
      <w:r>
        <w:tab/>
        <w:t>P-MPR</w:t>
      </w:r>
      <w:r>
        <w:rPr>
          <w:vertAlign w:val="subscript"/>
        </w:rPr>
        <w:t>f,c</w:t>
      </w:r>
      <w:r>
        <w:t xml:space="preserve"> and </w:t>
      </w:r>
      <w:r>
        <w:rPr>
          <w:i/>
        </w:rPr>
        <w:t>maxUplinkDutyCycle-FR2</w:t>
      </w:r>
      <w:r>
        <w:t xml:space="preserve"> may impact the maximum uplink performance for the selected UL transmission path.</w:t>
      </w:r>
    </w:p>
    <w:p w14:paraId="288D36BD" w14:textId="77777777" w:rsidR="00A95374" w:rsidRDefault="00A95374">
      <w:pPr>
        <w:rPr>
          <w:rFonts w:ascii="Times New Roman" w:hAnsi="Times New Roman" w:cs="Times New Roman"/>
        </w:rPr>
      </w:pPr>
    </w:p>
    <w:p w14:paraId="4C79AB7A" w14:textId="77777777" w:rsidR="00A95374" w:rsidRDefault="00E267B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tolerance T(∆P) for applicable values of ∆P (values in dB) is specified in Table 6.2.4-1.</w:t>
      </w:r>
    </w:p>
    <w:p w14:paraId="72B457B6" w14:textId="77777777" w:rsidR="00A95374" w:rsidRDefault="00E267B4">
      <w:pPr>
        <w:pStyle w:val="TH"/>
      </w:pPr>
      <w:r>
        <w:lastRenderedPageBreak/>
        <w:t>Table 6.2.4-1: P</w:t>
      </w:r>
      <w:r>
        <w:rPr>
          <w:vertAlign w:val="subscript"/>
        </w:rPr>
        <w:t xml:space="preserve">UMAX,f,c </w:t>
      </w:r>
      <w:r>
        <w:t>tolerance</w:t>
      </w:r>
    </w:p>
    <w:tbl>
      <w:tblPr>
        <w:tblW w:w="5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A95374" w14:paraId="447D5F01" w14:textId="77777777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14:paraId="0B95CCA5" w14:textId="77777777" w:rsidR="00A95374" w:rsidRDefault="00E267B4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CD87C3C" w14:textId="77777777" w:rsidR="00A95374" w:rsidRDefault="00E267B4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6822B64D" w14:textId="77777777" w:rsidR="00A95374" w:rsidRDefault="00E267B4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Tolerance T(∆P)</w:t>
            </w:r>
          </w:p>
          <w:p w14:paraId="16B8A422" w14:textId="77777777" w:rsidR="00A95374" w:rsidRDefault="00E267B4">
            <w:pPr>
              <w:pStyle w:val="TAH"/>
              <w:rPr>
                <w:rFonts w:eastAsia="Calibri"/>
              </w:rPr>
            </w:pPr>
            <w:r>
              <w:rPr>
                <w:rFonts w:eastAsia="Calibri"/>
              </w:rPr>
              <w:t>(dB)</w:t>
            </w:r>
          </w:p>
        </w:tc>
      </w:tr>
      <w:tr w:rsidR="00A95374" w14:paraId="77D495B7" w14:textId="77777777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14:paraId="18B27B1D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229C188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>
              <w:rPr>
                <w:rFonts w:ascii="Symbol" w:eastAsia="Calibri" w:hAnsi="Symbol"/>
              </w:rPr>
              <w:t></w:t>
            </w:r>
            <w:r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14:paraId="66F24882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</w:tr>
      <w:tr w:rsidR="00A95374" w14:paraId="28BB72DE" w14:textId="77777777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1807C4D" w14:textId="77777777" w:rsidR="00A95374" w:rsidRDefault="00A9537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292D6254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0 &lt; </w:t>
            </w:r>
            <w:r>
              <w:rPr>
                <w:rFonts w:ascii="Symbol" w:eastAsia="Calibri" w:hAnsi="Symbol"/>
              </w:rPr>
              <w:t></w:t>
            </w:r>
            <w:r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14:paraId="4D21E783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1.5</w:t>
            </w:r>
          </w:p>
        </w:tc>
      </w:tr>
      <w:tr w:rsidR="00A95374" w14:paraId="6894D7C1" w14:textId="77777777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A32862A" w14:textId="77777777" w:rsidR="00A95374" w:rsidRDefault="00A9537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3F51D917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2 &lt; </w:t>
            </w:r>
            <w:r>
              <w:rPr>
                <w:rFonts w:ascii="Symbol" w:eastAsia="Calibri" w:hAnsi="Symbol"/>
              </w:rPr>
              <w:t></w:t>
            </w:r>
            <w:r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14:paraId="42022D68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2.0</w:t>
            </w:r>
          </w:p>
        </w:tc>
      </w:tr>
      <w:tr w:rsidR="00A95374" w14:paraId="64CE020B" w14:textId="77777777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3125F350" w14:textId="77777777" w:rsidR="00A95374" w:rsidRDefault="00A9537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17F402A1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3 &lt; </w:t>
            </w:r>
            <w:r>
              <w:rPr>
                <w:rFonts w:ascii="Symbol" w:eastAsia="Calibri" w:hAnsi="Symbol"/>
              </w:rPr>
              <w:t></w:t>
            </w:r>
            <w:r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14:paraId="0715A7AB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3.0</w:t>
            </w:r>
          </w:p>
        </w:tc>
      </w:tr>
      <w:tr w:rsidR="00A95374" w14:paraId="76776B94" w14:textId="77777777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4E313F4E" w14:textId="77777777" w:rsidR="00A95374" w:rsidRDefault="00A9537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2566EF9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4 &lt; </w:t>
            </w:r>
            <w:r>
              <w:rPr>
                <w:rFonts w:ascii="Symbol" w:eastAsia="Calibri" w:hAnsi="Symbol"/>
              </w:rPr>
              <w:t></w:t>
            </w:r>
            <w:r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14:paraId="58EC25EA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4.0</w:t>
            </w:r>
          </w:p>
        </w:tc>
      </w:tr>
      <w:tr w:rsidR="00A95374" w14:paraId="0D4B455A" w14:textId="77777777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5E670A58" w14:textId="77777777" w:rsidR="00A95374" w:rsidRDefault="00A9537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3204BC4B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5 &lt; </w:t>
            </w:r>
            <w:r>
              <w:rPr>
                <w:rFonts w:ascii="Symbol" w:eastAsia="Calibri" w:hAnsi="Symbol"/>
              </w:rPr>
              <w:t></w:t>
            </w:r>
            <w:r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14:paraId="7AB8596B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5.0</w:t>
            </w:r>
          </w:p>
        </w:tc>
      </w:tr>
      <w:tr w:rsidR="00A95374" w14:paraId="598C71A4" w14:textId="77777777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1BB03B54" w14:textId="77777777" w:rsidR="00A95374" w:rsidRDefault="00A9537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2E0D0BE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10 &lt; </w:t>
            </w:r>
            <w:r>
              <w:rPr>
                <w:rFonts w:ascii="Symbol" w:eastAsia="Calibri" w:hAnsi="Symbol"/>
              </w:rPr>
              <w:t></w:t>
            </w:r>
            <w:r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14:paraId="15B4F0F4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7.0</w:t>
            </w:r>
          </w:p>
        </w:tc>
      </w:tr>
      <w:tr w:rsidR="00A95374" w14:paraId="46BB6A03" w14:textId="77777777">
        <w:trPr>
          <w:jc w:val="center"/>
        </w:trPr>
        <w:tc>
          <w:tcPr>
            <w:tcW w:w="1897" w:type="dxa"/>
            <w:vMerge/>
            <w:shd w:val="clear" w:color="auto" w:fill="auto"/>
          </w:tcPr>
          <w:p w14:paraId="7BF098D6" w14:textId="77777777" w:rsidR="00A95374" w:rsidRDefault="00A95374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14:paraId="58243809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 xml:space="preserve">15 &lt; </w:t>
            </w:r>
            <w:r>
              <w:rPr>
                <w:rFonts w:ascii="Symbol" w:eastAsia="Calibri" w:hAnsi="Symbol"/>
              </w:rPr>
              <w:t></w:t>
            </w:r>
            <w:r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14:paraId="00869980" w14:textId="77777777" w:rsidR="00A95374" w:rsidRDefault="00E267B4">
            <w:pPr>
              <w:pStyle w:val="TAC"/>
              <w:rPr>
                <w:rFonts w:eastAsia="Calibri"/>
              </w:rPr>
            </w:pPr>
            <w:r>
              <w:rPr>
                <w:rFonts w:eastAsia="Calibri"/>
              </w:rPr>
              <w:t>8.0</w:t>
            </w:r>
          </w:p>
        </w:tc>
      </w:tr>
      <w:tr w:rsidR="00A95374" w14:paraId="66CC058A" w14:textId="77777777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14:paraId="1EDEDCDE" w14:textId="77777777" w:rsidR="00A95374" w:rsidRDefault="00E267B4">
            <w:pPr>
              <w:pStyle w:val="TAN"/>
              <w:ind w:left="420" w:hanging="420"/>
            </w:pPr>
            <w:r>
              <w:t>NOTE:</w:t>
            </w:r>
            <w:r>
              <w:tab/>
              <w:t>X is the value such that P</w:t>
            </w:r>
            <w:r>
              <w:rPr>
                <w:vertAlign w:val="subscript"/>
              </w:rPr>
              <w:t xml:space="preserve">umax,f,c </w:t>
            </w:r>
            <w:r>
              <w:t>lower bound,  P</w:t>
            </w:r>
            <w:r>
              <w:rPr>
                <w:vertAlign w:val="subscript"/>
              </w:rPr>
              <w:t xml:space="preserve">Powerclass </w:t>
            </w:r>
            <w:r>
              <w:t xml:space="preserve">- </w:t>
            </w:r>
            <w:r>
              <w:rPr>
                <w:rFonts w:ascii="Symbol" w:hAnsi="Symbol"/>
              </w:rPr>
              <w:t></w:t>
            </w:r>
            <w:r>
              <w:t>P – T(</w:t>
            </w:r>
            <w:r>
              <w:rPr>
                <w:rFonts w:ascii="Symbol" w:hAnsi="Symbol"/>
              </w:rPr>
              <w:t></w:t>
            </w:r>
            <w:r>
              <w:t>P) = minimum output power specified in subclause 6.3.1</w:t>
            </w:r>
          </w:p>
        </w:tc>
      </w:tr>
      <w:bookmarkEnd w:id="5"/>
    </w:tbl>
    <w:p w14:paraId="3BFD779E" w14:textId="77777777" w:rsidR="00A95374" w:rsidRDefault="00A95374"/>
    <w:sectPr w:rsidR="00A9537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samsung" w:date="2020-06-03T13:39:00Z" w:initials="">
    <w:p w14:paraId="18690ABE" w14:textId="77777777" w:rsidR="00A95374" w:rsidRDefault="00E267B4">
      <w:pPr>
        <w:pStyle w:val="a4"/>
      </w:pPr>
      <w:r>
        <w:t xml:space="preserve">There is no agreement that the Pcmax to be discussed in this WF is only for Local Area IAB-MT. Hence it’s suggested to put it with more generic way. </w:t>
      </w:r>
    </w:p>
  </w:comment>
  <w:comment w:id="2" w:author="Nokia-user" w:date="2020-06-03T16:37:00Z" w:initials="LT(-F">
    <w:p w14:paraId="1EED7FAE" w14:textId="543E24C5" w:rsidR="00E267B4" w:rsidRDefault="00E267B4">
      <w:pPr>
        <w:pStyle w:val="a4"/>
      </w:pPr>
      <w:r>
        <w:rPr>
          <w:rStyle w:val="af"/>
        </w:rPr>
        <w:annotationRef/>
      </w:r>
      <w:r>
        <w:t>Changed wording as requirement seems to leave out declaration option</w:t>
      </w:r>
    </w:p>
  </w:comment>
  <w:comment w:id="3" w:author="Nokia-user" w:date="2020-06-03T16:38:00Z" w:initials="LT(-F">
    <w:p w14:paraId="6036CA1A" w14:textId="780B9220" w:rsidR="00E267B4" w:rsidRDefault="00E267B4">
      <w:pPr>
        <w:pStyle w:val="a4"/>
      </w:pPr>
      <w:r>
        <w:rPr>
          <w:rStyle w:val="af"/>
        </w:rPr>
        <w:annotationRef/>
      </w:r>
      <w:r>
        <w:t>FFS if PHR is needed to be addressed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8690ABE" w15:done="0"/>
  <w15:commentEx w15:paraId="1EED7FAE" w15:done="0"/>
  <w15:commentEx w15:paraId="6036CA1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0CA210B" w16cid:durableId="22825042"/>
  <w16cid:commentId w16cid:paraId="469C46EB" w16cid:durableId="22825043"/>
  <w16cid:commentId w16cid:paraId="18690ABE" w16cid:durableId="22825044"/>
  <w16cid:commentId w16cid:paraId="1EED7FAE" w16cid:durableId="22825061"/>
  <w16cid:commentId w16cid:paraId="49E03627" w16cid:durableId="22825045"/>
  <w16cid:commentId w16cid:paraId="7F044449" w16cid:durableId="22825046"/>
  <w16cid:commentId w16cid:paraId="156630DC" w16cid:durableId="22825047"/>
  <w16cid:commentId w16cid:paraId="6036CA1A" w16cid:durableId="22825086"/>
  <w16cid:commentId w16cid:paraId="5C225905" w16cid:durableId="22825048"/>
  <w16cid:commentId w16cid:paraId="68F843CC" w16cid:durableId="22825049"/>
  <w16cid:commentId w16cid:paraId="5AF51766" w16cid:durableId="2282504A"/>
  <w16cid:commentId w16cid:paraId="1F8069AF" w16cid:durableId="2282504B"/>
  <w16cid:commentId w16cid:paraId="34D24D81" w16cid:durableId="2282504C"/>
  <w16cid:commentId w16cid:paraId="7D1B4BD5" w16cid:durableId="2282504D"/>
  <w16cid:commentId w16cid:paraId="0FE42ECB" w16cid:durableId="2282504E"/>
  <w16cid:commentId w16cid:paraId="236E760C" w16cid:durableId="2282504F"/>
  <w16cid:commentId w16cid:paraId="36204724" w16cid:durableId="22825050"/>
  <w16cid:commentId w16cid:paraId="203D01C4" w16cid:durableId="22825051"/>
  <w16cid:commentId w16cid:paraId="4A397C71" w16cid:durableId="2282505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8DB9E" w14:textId="77777777" w:rsidR="00A8665D" w:rsidRDefault="00A8665D" w:rsidP="00E267B4">
      <w:pPr>
        <w:spacing w:after="0" w:line="240" w:lineRule="auto"/>
      </w:pPr>
      <w:r>
        <w:separator/>
      </w:r>
    </w:p>
  </w:endnote>
  <w:endnote w:type="continuationSeparator" w:id="0">
    <w:p w14:paraId="16F03206" w14:textId="77777777" w:rsidR="00A8665D" w:rsidRDefault="00A8665D" w:rsidP="00E267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8B1E09" w14:textId="77777777" w:rsidR="00A8665D" w:rsidRDefault="00A8665D" w:rsidP="00E267B4">
      <w:pPr>
        <w:spacing w:after="0" w:line="240" w:lineRule="auto"/>
      </w:pPr>
      <w:r>
        <w:separator/>
      </w:r>
    </w:p>
  </w:footnote>
  <w:footnote w:type="continuationSeparator" w:id="0">
    <w:p w14:paraId="0814C2DD" w14:textId="77777777" w:rsidR="00A8665D" w:rsidRDefault="00A8665D" w:rsidP="00E267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956DCB"/>
    <w:multiLevelType w:val="multilevel"/>
    <w:tmpl w:val="22956DCB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72C71936"/>
    <w:multiLevelType w:val="multilevel"/>
    <w:tmpl w:val="72C7193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F1E6499"/>
    <w:multiLevelType w:val="multilevel"/>
    <w:tmpl w:val="7F1E6499"/>
    <w:lvl w:ilvl="0">
      <w:start w:val="6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Calibri" w:eastAsia="Calibr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20"/>
  <w:hyphenationZone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353"/>
    <w:rsid w:val="00003C69"/>
    <w:rsid w:val="0000478F"/>
    <w:rsid w:val="00005954"/>
    <w:rsid w:val="00005F97"/>
    <w:rsid w:val="000078FE"/>
    <w:rsid w:val="00014035"/>
    <w:rsid w:val="00015077"/>
    <w:rsid w:val="00017DE0"/>
    <w:rsid w:val="000213A5"/>
    <w:rsid w:val="000224CD"/>
    <w:rsid w:val="00022887"/>
    <w:rsid w:val="00027197"/>
    <w:rsid w:val="000303EB"/>
    <w:rsid w:val="000316D6"/>
    <w:rsid w:val="000316D9"/>
    <w:rsid w:val="00031A3E"/>
    <w:rsid w:val="00036077"/>
    <w:rsid w:val="00044194"/>
    <w:rsid w:val="00044287"/>
    <w:rsid w:val="00044671"/>
    <w:rsid w:val="000447E0"/>
    <w:rsid w:val="00045F80"/>
    <w:rsid w:val="000542D7"/>
    <w:rsid w:val="0005598F"/>
    <w:rsid w:val="000608D0"/>
    <w:rsid w:val="000637ED"/>
    <w:rsid w:val="0006396D"/>
    <w:rsid w:val="000645A0"/>
    <w:rsid w:val="000708E3"/>
    <w:rsid w:val="00070B32"/>
    <w:rsid w:val="000718E9"/>
    <w:rsid w:val="000729C9"/>
    <w:rsid w:val="00072E5D"/>
    <w:rsid w:val="00073211"/>
    <w:rsid w:val="00073D55"/>
    <w:rsid w:val="00081033"/>
    <w:rsid w:val="0008319D"/>
    <w:rsid w:val="00086E14"/>
    <w:rsid w:val="0009033A"/>
    <w:rsid w:val="0009104B"/>
    <w:rsid w:val="00091A41"/>
    <w:rsid w:val="00095E1A"/>
    <w:rsid w:val="000A13E0"/>
    <w:rsid w:val="000A6D1A"/>
    <w:rsid w:val="000B12F8"/>
    <w:rsid w:val="000B1FF8"/>
    <w:rsid w:val="000B2BC0"/>
    <w:rsid w:val="000C100D"/>
    <w:rsid w:val="000C243C"/>
    <w:rsid w:val="000C4C74"/>
    <w:rsid w:val="000C5204"/>
    <w:rsid w:val="000C5302"/>
    <w:rsid w:val="000C54C6"/>
    <w:rsid w:val="000C7F91"/>
    <w:rsid w:val="000D3C64"/>
    <w:rsid w:val="000D4C59"/>
    <w:rsid w:val="000E254F"/>
    <w:rsid w:val="000E269A"/>
    <w:rsid w:val="000E33AA"/>
    <w:rsid w:val="000E34BE"/>
    <w:rsid w:val="000E3ED7"/>
    <w:rsid w:val="000E42C5"/>
    <w:rsid w:val="000E5E68"/>
    <w:rsid w:val="000E6A3A"/>
    <w:rsid w:val="000F0286"/>
    <w:rsid w:val="000F0FA3"/>
    <w:rsid w:val="000F470A"/>
    <w:rsid w:val="000F4EB5"/>
    <w:rsid w:val="000F5165"/>
    <w:rsid w:val="000F53E9"/>
    <w:rsid w:val="000F6B51"/>
    <w:rsid w:val="000F6F63"/>
    <w:rsid w:val="00100301"/>
    <w:rsid w:val="00102A9E"/>
    <w:rsid w:val="0010748C"/>
    <w:rsid w:val="001074A1"/>
    <w:rsid w:val="00111284"/>
    <w:rsid w:val="001118BE"/>
    <w:rsid w:val="00115241"/>
    <w:rsid w:val="001163EB"/>
    <w:rsid w:val="00121276"/>
    <w:rsid w:val="001214BC"/>
    <w:rsid w:val="00123589"/>
    <w:rsid w:val="00125394"/>
    <w:rsid w:val="00131637"/>
    <w:rsid w:val="00131991"/>
    <w:rsid w:val="0013335E"/>
    <w:rsid w:val="00135DC0"/>
    <w:rsid w:val="00135E7C"/>
    <w:rsid w:val="0013726E"/>
    <w:rsid w:val="001438AA"/>
    <w:rsid w:val="00143D1D"/>
    <w:rsid w:val="00144B02"/>
    <w:rsid w:val="001455C3"/>
    <w:rsid w:val="0014667B"/>
    <w:rsid w:val="00162691"/>
    <w:rsid w:val="0016328B"/>
    <w:rsid w:val="001677EB"/>
    <w:rsid w:val="0017034F"/>
    <w:rsid w:val="00170B06"/>
    <w:rsid w:val="00172185"/>
    <w:rsid w:val="00172664"/>
    <w:rsid w:val="00173E9D"/>
    <w:rsid w:val="001754C2"/>
    <w:rsid w:val="0017557C"/>
    <w:rsid w:val="00175ACA"/>
    <w:rsid w:val="00182E67"/>
    <w:rsid w:val="001832D5"/>
    <w:rsid w:val="00184E7E"/>
    <w:rsid w:val="001867B4"/>
    <w:rsid w:val="001871AA"/>
    <w:rsid w:val="001876C0"/>
    <w:rsid w:val="00190331"/>
    <w:rsid w:val="00195C0C"/>
    <w:rsid w:val="0019736C"/>
    <w:rsid w:val="00197EF8"/>
    <w:rsid w:val="001A24EE"/>
    <w:rsid w:val="001A5265"/>
    <w:rsid w:val="001B3133"/>
    <w:rsid w:val="001B4EF0"/>
    <w:rsid w:val="001B55E0"/>
    <w:rsid w:val="001B6ED9"/>
    <w:rsid w:val="001C0816"/>
    <w:rsid w:val="001C38D6"/>
    <w:rsid w:val="001C4FD0"/>
    <w:rsid w:val="001C5BB2"/>
    <w:rsid w:val="001C66F3"/>
    <w:rsid w:val="001C6F5A"/>
    <w:rsid w:val="001C7BDE"/>
    <w:rsid w:val="001D02BC"/>
    <w:rsid w:val="001D0887"/>
    <w:rsid w:val="001D0DE5"/>
    <w:rsid w:val="001D100E"/>
    <w:rsid w:val="001D5002"/>
    <w:rsid w:val="001D5E02"/>
    <w:rsid w:val="001D6341"/>
    <w:rsid w:val="001D7324"/>
    <w:rsid w:val="001E11C5"/>
    <w:rsid w:val="001E192C"/>
    <w:rsid w:val="001E2A71"/>
    <w:rsid w:val="001E3643"/>
    <w:rsid w:val="001E749D"/>
    <w:rsid w:val="001F192F"/>
    <w:rsid w:val="002007FA"/>
    <w:rsid w:val="00202A5F"/>
    <w:rsid w:val="00207D97"/>
    <w:rsid w:val="00210B3E"/>
    <w:rsid w:val="00212625"/>
    <w:rsid w:val="00212808"/>
    <w:rsid w:val="00213744"/>
    <w:rsid w:val="00215310"/>
    <w:rsid w:val="00217D6A"/>
    <w:rsid w:val="00220EC2"/>
    <w:rsid w:val="00221FFD"/>
    <w:rsid w:val="00223B39"/>
    <w:rsid w:val="002277E9"/>
    <w:rsid w:val="002301BF"/>
    <w:rsid w:val="00230B99"/>
    <w:rsid w:val="002350C1"/>
    <w:rsid w:val="0024181C"/>
    <w:rsid w:val="002418EC"/>
    <w:rsid w:val="002443BA"/>
    <w:rsid w:val="00246EBC"/>
    <w:rsid w:val="00247675"/>
    <w:rsid w:val="00252606"/>
    <w:rsid w:val="002534CA"/>
    <w:rsid w:val="00257B53"/>
    <w:rsid w:val="00257FB9"/>
    <w:rsid w:val="00260E9E"/>
    <w:rsid w:val="002611BB"/>
    <w:rsid w:val="00261C0C"/>
    <w:rsid w:val="00262C6C"/>
    <w:rsid w:val="00264CF1"/>
    <w:rsid w:val="00264FD6"/>
    <w:rsid w:val="0026676E"/>
    <w:rsid w:val="00266E04"/>
    <w:rsid w:val="002671F3"/>
    <w:rsid w:val="00267AAF"/>
    <w:rsid w:val="00270F7A"/>
    <w:rsid w:val="00271B14"/>
    <w:rsid w:val="00272509"/>
    <w:rsid w:val="0027316B"/>
    <w:rsid w:val="002741FD"/>
    <w:rsid w:val="00277496"/>
    <w:rsid w:val="00281E20"/>
    <w:rsid w:val="00285A74"/>
    <w:rsid w:val="00286C6A"/>
    <w:rsid w:val="00294C44"/>
    <w:rsid w:val="00295175"/>
    <w:rsid w:val="002971D6"/>
    <w:rsid w:val="00297965"/>
    <w:rsid w:val="002A0C18"/>
    <w:rsid w:val="002A5A60"/>
    <w:rsid w:val="002A727E"/>
    <w:rsid w:val="002B0953"/>
    <w:rsid w:val="002B1265"/>
    <w:rsid w:val="002B459E"/>
    <w:rsid w:val="002B4B6A"/>
    <w:rsid w:val="002B4C48"/>
    <w:rsid w:val="002C22C2"/>
    <w:rsid w:val="002C2435"/>
    <w:rsid w:val="002C333F"/>
    <w:rsid w:val="002C5A67"/>
    <w:rsid w:val="002C7731"/>
    <w:rsid w:val="002C7C95"/>
    <w:rsid w:val="002D33BF"/>
    <w:rsid w:val="002D6806"/>
    <w:rsid w:val="002E0E33"/>
    <w:rsid w:val="002E2FCA"/>
    <w:rsid w:val="002E4E27"/>
    <w:rsid w:val="002F0731"/>
    <w:rsid w:val="002F1435"/>
    <w:rsid w:val="002F4833"/>
    <w:rsid w:val="003029C2"/>
    <w:rsid w:val="00303031"/>
    <w:rsid w:val="00307F2F"/>
    <w:rsid w:val="00312862"/>
    <w:rsid w:val="00313FF8"/>
    <w:rsid w:val="00314493"/>
    <w:rsid w:val="0031560F"/>
    <w:rsid w:val="003218D7"/>
    <w:rsid w:val="003252C5"/>
    <w:rsid w:val="00325506"/>
    <w:rsid w:val="00325AE1"/>
    <w:rsid w:val="0032668A"/>
    <w:rsid w:val="00330269"/>
    <w:rsid w:val="00330D88"/>
    <w:rsid w:val="00330F3A"/>
    <w:rsid w:val="00333E6B"/>
    <w:rsid w:val="00334231"/>
    <w:rsid w:val="00336F41"/>
    <w:rsid w:val="00341535"/>
    <w:rsid w:val="0034168E"/>
    <w:rsid w:val="003456AF"/>
    <w:rsid w:val="003471B3"/>
    <w:rsid w:val="00347990"/>
    <w:rsid w:val="00352B38"/>
    <w:rsid w:val="00353F0F"/>
    <w:rsid w:val="003603A3"/>
    <w:rsid w:val="00360C89"/>
    <w:rsid w:val="00360FD3"/>
    <w:rsid w:val="0036113D"/>
    <w:rsid w:val="00362264"/>
    <w:rsid w:val="003623DE"/>
    <w:rsid w:val="00362F87"/>
    <w:rsid w:val="00364D91"/>
    <w:rsid w:val="00365680"/>
    <w:rsid w:val="00366254"/>
    <w:rsid w:val="00370375"/>
    <w:rsid w:val="00370AEB"/>
    <w:rsid w:val="0037169F"/>
    <w:rsid w:val="00373C16"/>
    <w:rsid w:val="00374390"/>
    <w:rsid w:val="00375A2E"/>
    <w:rsid w:val="00375EE0"/>
    <w:rsid w:val="003823CB"/>
    <w:rsid w:val="00382E66"/>
    <w:rsid w:val="003933B7"/>
    <w:rsid w:val="00394462"/>
    <w:rsid w:val="00395CEA"/>
    <w:rsid w:val="00396A44"/>
    <w:rsid w:val="00397F03"/>
    <w:rsid w:val="003A0047"/>
    <w:rsid w:val="003A0365"/>
    <w:rsid w:val="003A0F8B"/>
    <w:rsid w:val="003A35DA"/>
    <w:rsid w:val="003A3D0E"/>
    <w:rsid w:val="003A4B6D"/>
    <w:rsid w:val="003A4EAB"/>
    <w:rsid w:val="003B3155"/>
    <w:rsid w:val="003B7398"/>
    <w:rsid w:val="003B7523"/>
    <w:rsid w:val="003C031C"/>
    <w:rsid w:val="003C1610"/>
    <w:rsid w:val="003C4BC7"/>
    <w:rsid w:val="003C5997"/>
    <w:rsid w:val="003C5F2E"/>
    <w:rsid w:val="003C7B0C"/>
    <w:rsid w:val="003D081D"/>
    <w:rsid w:val="003D3843"/>
    <w:rsid w:val="003D3E5E"/>
    <w:rsid w:val="003D4810"/>
    <w:rsid w:val="003D4C92"/>
    <w:rsid w:val="003D5CA7"/>
    <w:rsid w:val="003D61E6"/>
    <w:rsid w:val="003E1BCB"/>
    <w:rsid w:val="003E50D8"/>
    <w:rsid w:val="003E53C0"/>
    <w:rsid w:val="003F0800"/>
    <w:rsid w:val="003F1336"/>
    <w:rsid w:val="003F2522"/>
    <w:rsid w:val="003F3D0A"/>
    <w:rsid w:val="003F6833"/>
    <w:rsid w:val="00401B8E"/>
    <w:rsid w:val="00402FB6"/>
    <w:rsid w:val="004049D7"/>
    <w:rsid w:val="004144D2"/>
    <w:rsid w:val="004154B5"/>
    <w:rsid w:val="004169F4"/>
    <w:rsid w:val="0042000F"/>
    <w:rsid w:val="00420BBA"/>
    <w:rsid w:val="0042257B"/>
    <w:rsid w:val="00422714"/>
    <w:rsid w:val="00423A51"/>
    <w:rsid w:val="0042479B"/>
    <w:rsid w:val="004262D6"/>
    <w:rsid w:val="00427457"/>
    <w:rsid w:val="0042771E"/>
    <w:rsid w:val="00432BFD"/>
    <w:rsid w:val="00434276"/>
    <w:rsid w:val="0044026E"/>
    <w:rsid w:val="0044050B"/>
    <w:rsid w:val="0044129E"/>
    <w:rsid w:val="00441C86"/>
    <w:rsid w:val="00445269"/>
    <w:rsid w:val="00447E1F"/>
    <w:rsid w:val="0045116C"/>
    <w:rsid w:val="00452554"/>
    <w:rsid w:val="00452999"/>
    <w:rsid w:val="00453F41"/>
    <w:rsid w:val="00456040"/>
    <w:rsid w:val="00456E45"/>
    <w:rsid w:val="00457F78"/>
    <w:rsid w:val="00460F58"/>
    <w:rsid w:val="00461C52"/>
    <w:rsid w:val="00463740"/>
    <w:rsid w:val="00464581"/>
    <w:rsid w:val="00471EE8"/>
    <w:rsid w:val="00472DED"/>
    <w:rsid w:val="004739C4"/>
    <w:rsid w:val="00474602"/>
    <w:rsid w:val="0047586E"/>
    <w:rsid w:val="00475927"/>
    <w:rsid w:val="00475B11"/>
    <w:rsid w:val="004830DB"/>
    <w:rsid w:val="00486410"/>
    <w:rsid w:val="004870CC"/>
    <w:rsid w:val="00490806"/>
    <w:rsid w:val="004914E1"/>
    <w:rsid w:val="00495BB4"/>
    <w:rsid w:val="00496391"/>
    <w:rsid w:val="00497643"/>
    <w:rsid w:val="00497B60"/>
    <w:rsid w:val="004A2586"/>
    <w:rsid w:val="004A6CB8"/>
    <w:rsid w:val="004B2363"/>
    <w:rsid w:val="004B7958"/>
    <w:rsid w:val="004B7C10"/>
    <w:rsid w:val="004C098D"/>
    <w:rsid w:val="004C0B85"/>
    <w:rsid w:val="004C3783"/>
    <w:rsid w:val="004C5873"/>
    <w:rsid w:val="004D08D4"/>
    <w:rsid w:val="004D2036"/>
    <w:rsid w:val="004D4B96"/>
    <w:rsid w:val="004D5E90"/>
    <w:rsid w:val="004D6754"/>
    <w:rsid w:val="004D78B3"/>
    <w:rsid w:val="004D7CDA"/>
    <w:rsid w:val="004E00B8"/>
    <w:rsid w:val="004E02D1"/>
    <w:rsid w:val="004E037E"/>
    <w:rsid w:val="004E0EBD"/>
    <w:rsid w:val="004E16C1"/>
    <w:rsid w:val="004E463B"/>
    <w:rsid w:val="004E50F2"/>
    <w:rsid w:val="004E64C5"/>
    <w:rsid w:val="004E79AF"/>
    <w:rsid w:val="004F0168"/>
    <w:rsid w:val="004F0D3E"/>
    <w:rsid w:val="004F1D65"/>
    <w:rsid w:val="004F23E7"/>
    <w:rsid w:val="004F33BC"/>
    <w:rsid w:val="004F385E"/>
    <w:rsid w:val="004F49D2"/>
    <w:rsid w:val="004F5AB4"/>
    <w:rsid w:val="004F6232"/>
    <w:rsid w:val="004F7601"/>
    <w:rsid w:val="004F77CA"/>
    <w:rsid w:val="00500D19"/>
    <w:rsid w:val="00503850"/>
    <w:rsid w:val="00505ACA"/>
    <w:rsid w:val="00506DB2"/>
    <w:rsid w:val="0051178B"/>
    <w:rsid w:val="00511D7F"/>
    <w:rsid w:val="005142E8"/>
    <w:rsid w:val="005152C3"/>
    <w:rsid w:val="00520092"/>
    <w:rsid w:val="005213B5"/>
    <w:rsid w:val="00523CF3"/>
    <w:rsid w:val="005246CB"/>
    <w:rsid w:val="00531509"/>
    <w:rsid w:val="005346DE"/>
    <w:rsid w:val="005359F4"/>
    <w:rsid w:val="00535B49"/>
    <w:rsid w:val="00536D9A"/>
    <w:rsid w:val="00536FFB"/>
    <w:rsid w:val="00537A2F"/>
    <w:rsid w:val="005442E0"/>
    <w:rsid w:val="005457EE"/>
    <w:rsid w:val="005518A8"/>
    <w:rsid w:val="00552DB0"/>
    <w:rsid w:val="005542D3"/>
    <w:rsid w:val="00556753"/>
    <w:rsid w:val="00561EED"/>
    <w:rsid w:val="00571F43"/>
    <w:rsid w:val="005722AC"/>
    <w:rsid w:val="00577D1F"/>
    <w:rsid w:val="00577E33"/>
    <w:rsid w:val="00581D9D"/>
    <w:rsid w:val="00582F35"/>
    <w:rsid w:val="005855BE"/>
    <w:rsid w:val="00586132"/>
    <w:rsid w:val="00587CC4"/>
    <w:rsid w:val="00587FF3"/>
    <w:rsid w:val="00593FEF"/>
    <w:rsid w:val="00594B4A"/>
    <w:rsid w:val="00596BB2"/>
    <w:rsid w:val="00597DA7"/>
    <w:rsid w:val="005A09F3"/>
    <w:rsid w:val="005A1066"/>
    <w:rsid w:val="005A3410"/>
    <w:rsid w:val="005A4226"/>
    <w:rsid w:val="005A4A3E"/>
    <w:rsid w:val="005A4BE2"/>
    <w:rsid w:val="005A770A"/>
    <w:rsid w:val="005B2965"/>
    <w:rsid w:val="005B49A1"/>
    <w:rsid w:val="005C1E99"/>
    <w:rsid w:val="005C4FC8"/>
    <w:rsid w:val="005C5399"/>
    <w:rsid w:val="005D08C9"/>
    <w:rsid w:val="005D211D"/>
    <w:rsid w:val="005D3272"/>
    <w:rsid w:val="005D3BC1"/>
    <w:rsid w:val="005D4616"/>
    <w:rsid w:val="005D79AA"/>
    <w:rsid w:val="005E154E"/>
    <w:rsid w:val="005E2128"/>
    <w:rsid w:val="005E334A"/>
    <w:rsid w:val="005E3919"/>
    <w:rsid w:val="005E5C3A"/>
    <w:rsid w:val="005E6211"/>
    <w:rsid w:val="005E76A8"/>
    <w:rsid w:val="005F01DD"/>
    <w:rsid w:val="005F3D83"/>
    <w:rsid w:val="00600417"/>
    <w:rsid w:val="00602538"/>
    <w:rsid w:val="006060F6"/>
    <w:rsid w:val="0061075C"/>
    <w:rsid w:val="006126A1"/>
    <w:rsid w:val="0061298D"/>
    <w:rsid w:val="00614E6E"/>
    <w:rsid w:val="0061765F"/>
    <w:rsid w:val="00617A3E"/>
    <w:rsid w:val="00617A8C"/>
    <w:rsid w:val="00620683"/>
    <w:rsid w:val="00621391"/>
    <w:rsid w:val="006240DC"/>
    <w:rsid w:val="0062510F"/>
    <w:rsid w:val="00625531"/>
    <w:rsid w:val="00627C0B"/>
    <w:rsid w:val="00627F5C"/>
    <w:rsid w:val="00633715"/>
    <w:rsid w:val="006340A9"/>
    <w:rsid w:val="006344FA"/>
    <w:rsid w:val="00641DC3"/>
    <w:rsid w:val="00642D16"/>
    <w:rsid w:val="006454BA"/>
    <w:rsid w:val="00646ED6"/>
    <w:rsid w:val="00650803"/>
    <w:rsid w:val="006557EE"/>
    <w:rsid w:val="00655C68"/>
    <w:rsid w:val="00657398"/>
    <w:rsid w:val="00661789"/>
    <w:rsid w:val="00665455"/>
    <w:rsid w:val="00666CF0"/>
    <w:rsid w:val="00667B84"/>
    <w:rsid w:val="00672ACC"/>
    <w:rsid w:val="0068271C"/>
    <w:rsid w:val="00683FE1"/>
    <w:rsid w:val="00685B8C"/>
    <w:rsid w:val="00690C08"/>
    <w:rsid w:val="00691B0B"/>
    <w:rsid w:val="00693E39"/>
    <w:rsid w:val="00694C72"/>
    <w:rsid w:val="00696AA9"/>
    <w:rsid w:val="006A01EF"/>
    <w:rsid w:val="006A031A"/>
    <w:rsid w:val="006A2402"/>
    <w:rsid w:val="006A262E"/>
    <w:rsid w:val="006A3761"/>
    <w:rsid w:val="006A4700"/>
    <w:rsid w:val="006A55C5"/>
    <w:rsid w:val="006A64AE"/>
    <w:rsid w:val="006B0552"/>
    <w:rsid w:val="006B0979"/>
    <w:rsid w:val="006B0F11"/>
    <w:rsid w:val="006B1ECD"/>
    <w:rsid w:val="006B4DDE"/>
    <w:rsid w:val="006C03E8"/>
    <w:rsid w:val="006C0DD2"/>
    <w:rsid w:val="006C2A6A"/>
    <w:rsid w:val="006C4F30"/>
    <w:rsid w:val="006C6724"/>
    <w:rsid w:val="006C6B9C"/>
    <w:rsid w:val="006C6C7A"/>
    <w:rsid w:val="006C7868"/>
    <w:rsid w:val="006E548C"/>
    <w:rsid w:val="006F1D96"/>
    <w:rsid w:val="006F2A8B"/>
    <w:rsid w:val="006F7042"/>
    <w:rsid w:val="006F762C"/>
    <w:rsid w:val="006F7668"/>
    <w:rsid w:val="00700908"/>
    <w:rsid w:val="00700ECA"/>
    <w:rsid w:val="00701350"/>
    <w:rsid w:val="00702395"/>
    <w:rsid w:val="0070353D"/>
    <w:rsid w:val="00705546"/>
    <w:rsid w:val="007122B5"/>
    <w:rsid w:val="00712D14"/>
    <w:rsid w:val="0071316C"/>
    <w:rsid w:val="0071351D"/>
    <w:rsid w:val="00713839"/>
    <w:rsid w:val="00715EF6"/>
    <w:rsid w:val="0072021A"/>
    <w:rsid w:val="00721669"/>
    <w:rsid w:val="00722EB1"/>
    <w:rsid w:val="0072746D"/>
    <w:rsid w:val="00727D64"/>
    <w:rsid w:val="00731137"/>
    <w:rsid w:val="0073178D"/>
    <w:rsid w:val="00733B09"/>
    <w:rsid w:val="00733EF6"/>
    <w:rsid w:val="00737D52"/>
    <w:rsid w:val="00737E37"/>
    <w:rsid w:val="00741932"/>
    <w:rsid w:val="0074702E"/>
    <w:rsid w:val="00752A96"/>
    <w:rsid w:val="00753D40"/>
    <w:rsid w:val="00756A98"/>
    <w:rsid w:val="00760666"/>
    <w:rsid w:val="00760BDF"/>
    <w:rsid w:val="007618FB"/>
    <w:rsid w:val="007643CB"/>
    <w:rsid w:val="007677F9"/>
    <w:rsid w:val="00771236"/>
    <w:rsid w:val="007737DD"/>
    <w:rsid w:val="00776713"/>
    <w:rsid w:val="00776AF8"/>
    <w:rsid w:val="00776B74"/>
    <w:rsid w:val="00782D25"/>
    <w:rsid w:val="007833AA"/>
    <w:rsid w:val="00784737"/>
    <w:rsid w:val="007857D2"/>
    <w:rsid w:val="00787DA2"/>
    <w:rsid w:val="007976E1"/>
    <w:rsid w:val="007A15A2"/>
    <w:rsid w:val="007A4E3C"/>
    <w:rsid w:val="007A5F17"/>
    <w:rsid w:val="007A6237"/>
    <w:rsid w:val="007A7EB3"/>
    <w:rsid w:val="007B1FF5"/>
    <w:rsid w:val="007B2E04"/>
    <w:rsid w:val="007B4ED5"/>
    <w:rsid w:val="007B5960"/>
    <w:rsid w:val="007B6C46"/>
    <w:rsid w:val="007C4353"/>
    <w:rsid w:val="007C6838"/>
    <w:rsid w:val="007C7D9D"/>
    <w:rsid w:val="007D0AC1"/>
    <w:rsid w:val="007D21B4"/>
    <w:rsid w:val="007D30B5"/>
    <w:rsid w:val="007D3854"/>
    <w:rsid w:val="007D7774"/>
    <w:rsid w:val="007E09FE"/>
    <w:rsid w:val="007E2F2E"/>
    <w:rsid w:val="007E3259"/>
    <w:rsid w:val="007E3D2D"/>
    <w:rsid w:val="007E4C90"/>
    <w:rsid w:val="007E5A88"/>
    <w:rsid w:val="007E5B96"/>
    <w:rsid w:val="007E7250"/>
    <w:rsid w:val="007F04A6"/>
    <w:rsid w:val="007F2337"/>
    <w:rsid w:val="007F313A"/>
    <w:rsid w:val="007F4CFB"/>
    <w:rsid w:val="007F4E92"/>
    <w:rsid w:val="007F625D"/>
    <w:rsid w:val="007F6627"/>
    <w:rsid w:val="007F6E54"/>
    <w:rsid w:val="007F7A43"/>
    <w:rsid w:val="00800E96"/>
    <w:rsid w:val="008018A3"/>
    <w:rsid w:val="00803C7D"/>
    <w:rsid w:val="00805C88"/>
    <w:rsid w:val="008116DF"/>
    <w:rsid w:val="00812D10"/>
    <w:rsid w:val="008137E4"/>
    <w:rsid w:val="0081547C"/>
    <w:rsid w:val="008200CF"/>
    <w:rsid w:val="0082488E"/>
    <w:rsid w:val="008250EA"/>
    <w:rsid w:val="00826166"/>
    <w:rsid w:val="008268A5"/>
    <w:rsid w:val="00827E7A"/>
    <w:rsid w:val="00831AB1"/>
    <w:rsid w:val="008330F4"/>
    <w:rsid w:val="00834611"/>
    <w:rsid w:val="00836FD2"/>
    <w:rsid w:val="00840088"/>
    <w:rsid w:val="008412CA"/>
    <w:rsid w:val="00842028"/>
    <w:rsid w:val="00842E21"/>
    <w:rsid w:val="008439C7"/>
    <w:rsid w:val="008448E2"/>
    <w:rsid w:val="00845EDE"/>
    <w:rsid w:val="00845EFE"/>
    <w:rsid w:val="008508C0"/>
    <w:rsid w:val="00851583"/>
    <w:rsid w:val="00851F9E"/>
    <w:rsid w:val="00852054"/>
    <w:rsid w:val="00853F0A"/>
    <w:rsid w:val="0085422D"/>
    <w:rsid w:val="00855436"/>
    <w:rsid w:val="00855466"/>
    <w:rsid w:val="008619D3"/>
    <w:rsid w:val="00862540"/>
    <w:rsid w:val="00864268"/>
    <w:rsid w:val="0086467F"/>
    <w:rsid w:val="00867017"/>
    <w:rsid w:val="00867372"/>
    <w:rsid w:val="00871F57"/>
    <w:rsid w:val="00874064"/>
    <w:rsid w:val="00875009"/>
    <w:rsid w:val="00876864"/>
    <w:rsid w:val="008806B5"/>
    <w:rsid w:val="008818BC"/>
    <w:rsid w:val="008859FF"/>
    <w:rsid w:val="00887DF9"/>
    <w:rsid w:val="00891FEB"/>
    <w:rsid w:val="00893B4F"/>
    <w:rsid w:val="008A07DB"/>
    <w:rsid w:val="008A0CD1"/>
    <w:rsid w:val="008A2078"/>
    <w:rsid w:val="008A3E27"/>
    <w:rsid w:val="008A5761"/>
    <w:rsid w:val="008A60DA"/>
    <w:rsid w:val="008A76CD"/>
    <w:rsid w:val="008B044B"/>
    <w:rsid w:val="008B06DE"/>
    <w:rsid w:val="008B1AD2"/>
    <w:rsid w:val="008B1FEC"/>
    <w:rsid w:val="008B316B"/>
    <w:rsid w:val="008B574D"/>
    <w:rsid w:val="008B5C2D"/>
    <w:rsid w:val="008B5CCF"/>
    <w:rsid w:val="008B6418"/>
    <w:rsid w:val="008B7AB0"/>
    <w:rsid w:val="008C2657"/>
    <w:rsid w:val="008C37C3"/>
    <w:rsid w:val="008C3FC6"/>
    <w:rsid w:val="008C63DB"/>
    <w:rsid w:val="008D0B7A"/>
    <w:rsid w:val="008D38DD"/>
    <w:rsid w:val="008D3D9C"/>
    <w:rsid w:val="008D3EF6"/>
    <w:rsid w:val="008D6D06"/>
    <w:rsid w:val="008D7A68"/>
    <w:rsid w:val="008E03E8"/>
    <w:rsid w:val="008E1C42"/>
    <w:rsid w:val="008E4926"/>
    <w:rsid w:val="008E6D0B"/>
    <w:rsid w:val="008F0575"/>
    <w:rsid w:val="008F07EB"/>
    <w:rsid w:val="008F2591"/>
    <w:rsid w:val="008F4B86"/>
    <w:rsid w:val="008F5060"/>
    <w:rsid w:val="008F5965"/>
    <w:rsid w:val="008F72F8"/>
    <w:rsid w:val="008F761B"/>
    <w:rsid w:val="00902FFA"/>
    <w:rsid w:val="00903FA3"/>
    <w:rsid w:val="00904BC6"/>
    <w:rsid w:val="00907E67"/>
    <w:rsid w:val="00910877"/>
    <w:rsid w:val="00912E5E"/>
    <w:rsid w:val="00916C96"/>
    <w:rsid w:val="00921F0A"/>
    <w:rsid w:val="00922E06"/>
    <w:rsid w:val="00930DD4"/>
    <w:rsid w:val="00932C93"/>
    <w:rsid w:val="00936118"/>
    <w:rsid w:val="00936592"/>
    <w:rsid w:val="00937704"/>
    <w:rsid w:val="00942C77"/>
    <w:rsid w:val="00943907"/>
    <w:rsid w:val="00943A21"/>
    <w:rsid w:val="00944B33"/>
    <w:rsid w:val="00946ADB"/>
    <w:rsid w:val="0094719C"/>
    <w:rsid w:val="00947C71"/>
    <w:rsid w:val="00951A8E"/>
    <w:rsid w:val="009525FB"/>
    <w:rsid w:val="009527D5"/>
    <w:rsid w:val="00953116"/>
    <w:rsid w:val="009611CD"/>
    <w:rsid w:val="0096199D"/>
    <w:rsid w:val="00962C28"/>
    <w:rsid w:val="00963821"/>
    <w:rsid w:val="00963D5B"/>
    <w:rsid w:val="0096455B"/>
    <w:rsid w:val="00964F6C"/>
    <w:rsid w:val="00972056"/>
    <w:rsid w:val="00972967"/>
    <w:rsid w:val="00973B9C"/>
    <w:rsid w:val="00980ED1"/>
    <w:rsid w:val="00981226"/>
    <w:rsid w:val="0098357D"/>
    <w:rsid w:val="00983B68"/>
    <w:rsid w:val="0098779D"/>
    <w:rsid w:val="00992034"/>
    <w:rsid w:val="00994660"/>
    <w:rsid w:val="00994AA9"/>
    <w:rsid w:val="009977D1"/>
    <w:rsid w:val="009A133B"/>
    <w:rsid w:val="009A1FEC"/>
    <w:rsid w:val="009A5468"/>
    <w:rsid w:val="009A5C5C"/>
    <w:rsid w:val="009B2D6C"/>
    <w:rsid w:val="009B343A"/>
    <w:rsid w:val="009B3B56"/>
    <w:rsid w:val="009B6604"/>
    <w:rsid w:val="009B6C57"/>
    <w:rsid w:val="009B7A45"/>
    <w:rsid w:val="009B7EBE"/>
    <w:rsid w:val="009C06F5"/>
    <w:rsid w:val="009C1095"/>
    <w:rsid w:val="009C61F9"/>
    <w:rsid w:val="009C7B08"/>
    <w:rsid w:val="009D0AF5"/>
    <w:rsid w:val="009D0FD4"/>
    <w:rsid w:val="009D18CA"/>
    <w:rsid w:val="009D2968"/>
    <w:rsid w:val="009D33E9"/>
    <w:rsid w:val="009D5467"/>
    <w:rsid w:val="009D553B"/>
    <w:rsid w:val="009D5BBB"/>
    <w:rsid w:val="009E0C4D"/>
    <w:rsid w:val="009E0E6E"/>
    <w:rsid w:val="009E2F63"/>
    <w:rsid w:val="009E4907"/>
    <w:rsid w:val="009E6443"/>
    <w:rsid w:val="009E6DDF"/>
    <w:rsid w:val="009E7C4F"/>
    <w:rsid w:val="009F00BC"/>
    <w:rsid w:val="009F1642"/>
    <w:rsid w:val="009F4BE4"/>
    <w:rsid w:val="009F5788"/>
    <w:rsid w:val="009F5890"/>
    <w:rsid w:val="00A03A96"/>
    <w:rsid w:val="00A05256"/>
    <w:rsid w:val="00A058CB"/>
    <w:rsid w:val="00A064D7"/>
    <w:rsid w:val="00A075B9"/>
    <w:rsid w:val="00A07C80"/>
    <w:rsid w:val="00A11879"/>
    <w:rsid w:val="00A134B1"/>
    <w:rsid w:val="00A14EAE"/>
    <w:rsid w:val="00A15B9B"/>
    <w:rsid w:val="00A16244"/>
    <w:rsid w:val="00A21FED"/>
    <w:rsid w:val="00A239BD"/>
    <w:rsid w:val="00A2408E"/>
    <w:rsid w:val="00A26A7B"/>
    <w:rsid w:val="00A420D0"/>
    <w:rsid w:val="00A450BA"/>
    <w:rsid w:val="00A50C05"/>
    <w:rsid w:val="00A54283"/>
    <w:rsid w:val="00A544BA"/>
    <w:rsid w:val="00A55913"/>
    <w:rsid w:val="00A6034F"/>
    <w:rsid w:val="00A6184D"/>
    <w:rsid w:val="00A6191E"/>
    <w:rsid w:val="00A62FC5"/>
    <w:rsid w:val="00A660EB"/>
    <w:rsid w:val="00A66FFF"/>
    <w:rsid w:val="00A71D64"/>
    <w:rsid w:val="00A742B3"/>
    <w:rsid w:val="00A75A40"/>
    <w:rsid w:val="00A76422"/>
    <w:rsid w:val="00A80FB4"/>
    <w:rsid w:val="00A812D6"/>
    <w:rsid w:val="00A82EDB"/>
    <w:rsid w:val="00A84C55"/>
    <w:rsid w:val="00A8665D"/>
    <w:rsid w:val="00A87E14"/>
    <w:rsid w:val="00A87F67"/>
    <w:rsid w:val="00A90B54"/>
    <w:rsid w:val="00A91F30"/>
    <w:rsid w:val="00A93DD7"/>
    <w:rsid w:val="00A942F3"/>
    <w:rsid w:val="00A94B71"/>
    <w:rsid w:val="00A95374"/>
    <w:rsid w:val="00A97A65"/>
    <w:rsid w:val="00AA0348"/>
    <w:rsid w:val="00AA0BB8"/>
    <w:rsid w:val="00AA3791"/>
    <w:rsid w:val="00AA40EA"/>
    <w:rsid w:val="00AA4120"/>
    <w:rsid w:val="00AA61A8"/>
    <w:rsid w:val="00AB114E"/>
    <w:rsid w:val="00AB23A3"/>
    <w:rsid w:val="00AB3987"/>
    <w:rsid w:val="00AB46D2"/>
    <w:rsid w:val="00AB51C4"/>
    <w:rsid w:val="00AB5801"/>
    <w:rsid w:val="00AB6235"/>
    <w:rsid w:val="00AC1B3B"/>
    <w:rsid w:val="00AC5F26"/>
    <w:rsid w:val="00AC71C1"/>
    <w:rsid w:val="00AD1745"/>
    <w:rsid w:val="00AD1EA3"/>
    <w:rsid w:val="00AD2262"/>
    <w:rsid w:val="00AD2DED"/>
    <w:rsid w:val="00AD4EDA"/>
    <w:rsid w:val="00AD66ED"/>
    <w:rsid w:val="00AD798E"/>
    <w:rsid w:val="00AE04DA"/>
    <w:rsid w:val="00AE0B9A"/>
    <w:rsid w:val="00AE1158"/>
    <w:rsid w:val="00AE249C"/>
    <w:rsid w:val="00AE2762"/>
    <w:rsid w:val="00AE2E1B"/>
    <w:rsid w:val="00AE2E76"/>
    <w:rsid w:val="00AE4578"/>
    <w:rsid w:val="00AE4B32"/>
    <w:rsid w:val="00AE4EAD"/>
    <w:rsid w:val="00AE52B7"/>
    <w:rsid w:val="00AE5DF0"/>
    <w:rsid w:val="00AE6BA2"/>
    <w:rsid w:val="00AE6D64"/>
    <w:rsid w:val="00AE7F0A"/>
    <w:rsid w:val="00AF23B3"/>
    <w:rsid w:val="00AF3FB5"/>
    <w:rsid w:val="00AF476C"/>
    <w:rsid w:val="00AF5141"/>
    <w:rsid w:val="00AF7A9F"/>
    <w:rsid w:val="00B07908"/>
    <w:rsid w:val="00B1548E"/>
    <w:rsid w:val="00B15F35"/>
    <w:rsid w:val="00B17149"/>
    <w:rsid w:val="00B17635"/>
    <w:rsid w:val="00B2082B"/>
    <w:rsid w:val="00B245DB"/>
    <w:rsid w:val="00B24791"/>
    <w:rsid w:val="00B25482"/>
    <w:rsid w:val="00B26351"/>
    <w:rsid w:val="00B31802"/>
    <w:rsid w:val="00B3419F"/>
    <w:rsid w:val="00B34A8F"/>
    <w:rsid w:val="00B353E2"/>
    <w:rsid w:val="00B411C4"/>
    <w:rsid w:val="00B43072"/>
    <w:rsid w:val="00B45622"/>
    <w:rsid w:val="00B55054"/>
    <w:rsid w:val="00B5534F"/>
    <w:rsid w:val="00B57539"/>
    <w:rsid w:val="00B57B2C"/>
    <w:rsid w:val="00B61299"/>
    <w:rsid w:val="00B64570"/>
    <w:rsid w:val="00B64E48"/>
    <w:rsid w:val="00B6611C"/>
    <w:rsid w:val="00B6633B"/>
    <w:rsid w:val="00B66BCE"/>
    <w:rsid w:val="00B66E14"/>
    <w:rsid w:val="00B711CE"/>
    <w:rsid w:val="00B71BC8"/>
    <w:rsid w:val="00B73E50"/>
    <w:rsid w:val="00B748E9"/>
    <w:rsid w:val="00B74F5D"/>
    <w:rsid w:val="00B7645F"/>
    <w:rsid w:val="00B768C7"/>
    <w:rsid w:val="00B7737E"/>
    <w:rsid w:val="00B82A68"/>
    <w:rsid w:val="00B85C20"/>
    <w:rsid w:val="00B864DA"/>
    <w:rsid w:val="00B87A0D"/>
    <w:rsid w:val="00B905F8"/>
    <w:rsid w:val="00B91CDD"/>
    <w:rsid w:val="00B91F60"/>
    <w:rsid w:val="00B933A8"/>
    <w:rsid w:val="00B94130"/>
    <w:rsid w:val="00B95BE9"/>
    <w:rsid w:val="00BA0504"/>
    <w:rsid w:val="00BA1726"/>
    <w:rsid w:val="00BA2CE0"/>
    <w:rsid w:val="00BA46A7"/>
    <w:rsid w:val="00BB325B"/>
    <w:rsid w:val="00BB7649"/>
    <w:rsid w:val="00BB7AC5"/>
    <w:rsid w:val="00BB7FBA"/>
    <w:rsid w:val="00BC0505"/>
    <w:rsid w:val="00BC0E16"/>
    <w:rsid w:val="00BC248D"/>
    <w:rsid w:val="00BC3552"/>
    <w:rsid w:val="00BC684D"/>
    <w:rsid w:val="00BC6DF8"/>
    <w:rsid w:val="00BC78F2"/>
    <w:rsid w:val="00BD0106"/>
    <w:rsid w:val="00BD419B"/>
    <w:rsid w:val="00BD54C1"/>
    <w:rsid w:val="00BD5C8E"/>
    <w:rsid w:val="00BD76BC"/>
    <w:rsid w:val="00BE0616"/>
    <w:rsid w:val="00BE15F5"/>
    <w:rsid w:val="00BE2A39"/>
    <w:rsid w:val="00BE4F17"/>
    <w:rsid w:val="00BE5417"/>
    <w:rsid w:val="00BE765F"/>
    <w:rsid w:val="00BF01C5"/>
    <w:rsid w:val="00BF22B9"/>
    <w:rsid w:val="00BF30E2"/>
    <w:rsid w:val="00C0177B"/>
    <w:rsid w:val="00C04282"/>
    <w:rsid w:val="00C04D38"/>
    <w:rsid w:val="00C04E95"/>
    <w:rsid w:val="00C06CEE"/>
    <w:rsid w:val="00C10BEA"/>
    <w:rsid w:val="00C119DA"/>
    <w:rsid w:val="00C1374A"/>
    <w:rsid w:val="00C143D4"/>
    <w:rsid w:val="00C14E08"/>
    <w:rsid w:val="00C16873"/>
    <w:rsid w:val="00C210DA"/>
    <w:rsid w:val="00C222F8"/>
    <w:rsid w:val="00C3115C"/>
    <w:rsid w:val="00C3161B"/>
    <w:rsid w:val="00C32386"/>
    <w:rsid w:val="00C33332"/>
    <w:rsid w:val="00C4038C"/>
    <w:rsid w:val="00C40C3D"/>
    <w:rsid w:val="00C4135D"/>
    <w:rsid w:val="00C41D1D"/>
    <w:rsid w:val="00C42B4F"/>
    <w:rsid w:val="00C44DA8"/>
    <w:rsid w:val="00C47ADC"/>
    <w:rsid w:val="00C51D45"/>
    <w:rsid w:val="00C51F2C"/>
    <w:rsid w:val="00C524E8"/>
    <w:rsid w:val="00C56B4F"/>
    <w:rsid w:val="00C60835"/>
    <w:rsid w:val="00C61E34"/>
    <w:rsid w:val="00C62E2E"/>
    <w:rsid w:val="00C65AD4"/>
    <w:rsid w:val="00C65C49"/>
    <w:rsid w:val="00C67FBA"/>
    <w:rsid w:val="00C7085D"/>
    <w:rsid w:val="00C73542"/>
    <w:rsid w:val="00C751AB"/>
    <w:rsid w:val="00C80873"/>
    <w:rsid w:val="00C82508"/>
    <w:rsid w:val="00C82F63"/>
    <w:rsid w:val="00C856FC"/>
    <w:rsid w:val="00C863E2"/>
    <w:rsid w:val="00C90159"/>
    <w:rsid w:val="00C91BE1"/>
    <w:rsid w:val="00C93C35"/>
    <w:rsid w:val="00C972FC"/>
    <w:rsid w:val="00CA3854"/>
    <w:rsid w:val="00CA50A4"/>
    <w:rsid w:val="00CA77A1"/>
    <w:rsid w:val="00CA78E0"/>
    <w:rsid w:val="00CB0BD7"/>
    <w:rsid w:val="00CB1ED4"/>
    <w:rsid w:val="00CB368E"/>
    <w:rsid w:val="00CB3908"/>
    <w:rsid w:val="00CB4C0B"/>
    <w:rsid w:val="00CB5649"/>
    <w:rsid w:val="00CB6E32"/>
    <w:rsid w:val="00CC147E"/>
    <w:rsid w:val="00CC1786"/>
    <w:rsid w:val="00CC5B2A"/>
    <w:rsid w:val="00CC6475"/>
    <w:rsid w:val="00CD06BB"/>
    <w:rsid w:val="00CD0760"/>
    <w:rsid w:val="00CD2775"/>
    <w:rsid w:val="00CD2AB3"/>
    <w:rsid w:val="00CD2D7F"/>
    <w:rsid w:val="00CD4334"/>
    <w:rsid w:val="00CD4EE4"/>
    <w:rsid w:val="00CD7A83"/>
    <w:rsid w:val="00CD7C43"/>
    <w:rsid w:val="00CE1469"/>
    <w:rsid w:val="00CE1A1F"/>
    <w:rsid w:val="00CE2487"/>
    <w:rsid w:val="00CE3DFA"/>
    <w:rsid w:val="00CE3F48"/>
    <w:rsid w:val="00CE4002"/>
    <w:rsid w:val="00CE6FB4"/>
    <w:rsid w:val="00CF146A"/>
    <w:rsid w:val="00CF2EBF"/>
    <w:rsid w:val="00CF3015"/>
    <w:rsid w:val="00CF5CF4"/>
    <w:rsid w:val="00CF7E1F"/>
    <w:rsid w:val="00D03468"/>
    <w:rsid w:val="00D03703"/>
    <w:rsid w:val="00D04CAD"/>
    <w:rsid w:val="00D106E5"/>
    <w:rsid w:val="00D10CEB"/>
    <w:rsid w:val="00D13F1B"/>
    <w:rsid w:val="00D17C70"/>
    <w:rsid w:val="00D22054"/>
    <w:rsid w:val="00D232AD"/>
    <w:rsid w:val="00D23654"/>
    <w:rsid w:val="00D24233"/>
    <w:rsid w:val="00D2438B"/>
    <w:rsid w:val="00D264C9"/>
    <w:rsid w:val="00D30BB9"/>
    <w:rsid w:val="00D31285"/>
    <w:rsid w:val="00D32E23"/>
    <w:rsid w:val="00D35E3B"/>
    <w:rsid w:val="00D37907"/>
    <w:rsid w:val="00D4002E"/>
    <w:rsid w:val="00D448EB"/>
    <w:rsid w:val="00D504ED"/>
    <w:rsid w:val="00D50534"/>
    <w:rsid w:val="00D50E8E"/>
    <w:rsid w:val="00D50F56"/>
    <w:rsid w:val="00D51261"/>
    <w:rsid w:val="00D513E3"/>
    <w:rsid w:val="00D5226F"/>
    <w:rsid w:val="00D5532C"/>
    <w:rsid w:val="00D55643"/>
    <w:rsid w:val="00D55C7B"/>
    <w:rsid w:val="00D56127"/>
    <w:rsid w:val="00D56ABA"/>
    <w:rsid w:val="00D579B5"/>
    <w:rsid w:val="00D61E20"/>
    <w:rsid w:val="00D62935"/>
    <w:rsid w:val="00D6633D"/>
    <w:rsid w:val="00D67F94"/>
    <w:rsid w:val="00D71CCC"/>
    <w:rsid w:val="00D71F89"/>
    <w:rsid w:val="00D72C28"/>
    <w:rsid w:val="00D73AA3"/>
    <w:rsid w:val="00D74267"/>
    <w:rsid w:val="00D779CB"/>
    <w:rsid w:val="00D818A8"/>
    <w:rsid w:val="00D8198F"/>
    <w:rsid w:val="00D81E3A"/>
    <w:rsid w:val="00D862CE"/>
    <w:rsid w:val="00D86726"/>
    <w:rsid w:val="00D96071"/>
    <w:rsid w:val="00DA0177"/>
    <w:rsid w:val="00DA02C0"/>
    <w:rsid w:val="00DA2CF6"/>
    <w:rsid w:val="00DB0087"/>
    <w:rsid w:val="00DB0397"/>
    <w:rsid w:val="00DB2ABF"/>
    <w:rsid w:val="00DB39FE"/>
    <w:rsid w:val="00DC03B8"/>
    <w:rsid w:val="00DC2482"/>
    <w:rsid w:val="00DC5BDF"/>
    <w:rsid w:val="00DC723A"/>
    <w:rsid w:val="00DD146E"/>
    <w:rsid w:val="00DD1B74"/>
    <w:rsid w:val="00DD1C68"/>
    <w:rsid w:val="00DD2410"/>
    <w:rsid w:val="00DD3229"/>
    <w:rsid w:val="00DD5B6B"/>
    <w:rsid w:val="00DD69E3"/>
    <w:rsid w:val="00DD6C47"/>
    <w:rsid w:val="00DE0902"/>
    <w:rsid w:val="00DE42FB"/>
    <w:rsid w:val="00DE5895"/>
    <w:rsid w:val="00DE6934"/>
    <w:rsid w:val="00DE7284"/>
    <w:rsid w:val="00DF01B2"/>
    <w:rsid w:val="00DF0285"/>
    <w:rsid w:val="00DF130F"/>
    <w:rsid w:val="00DF37A3"/>
    <w:rsid w:val="00DF4456"/>
    <w:rsid w:val="00DF65F6"/>
    <w:rsid w:val="00E00F41"/>
    <w:rsid w:val="00E0185E"/>
    <w:rsid w:val="00E0252E"/>
    <w:rsid w:val="00E02F86"/>
    <w:rsid w:val="00E0745A"/>
    <w:rsid w:val="00E10AEF"/>
    <w:rsid w:val="00E10E03"/>
    <w:rsid w:val="00E12D07"/>
    <w:rsid w:val="00E14F20"/>
    <w:rsid w:val="00E1726D"/>
    <w:rsid w:val="00E214DE"/>
    <w:rsid w:val="00E2164B"/>
    <w:rsid w:val="00E21F47"/>
    <w:rsid w:val="00E257D2"/>
    <w:rsid w:val="00E25931"/>
    <w:rsid w:val="00E25F38"/>
    <w:rsid w:val="00E26567"/>
    <w:rsid w:val="00E267B4"/>
    <w:rsid w:val="00E2733D"/>
    <w:rsid w:val="00E27507"/>
    <w:rsid w:val="00E306AD"/>
    <w:rsid w:val="00E32368"/>
    <w:rsid w:val="00E335F2"/>
    <w:rsid w:val="00E36FCE"/>
    <w:rsid w:val="00E37277"/>
    <w:rsid w:val="00E47E79"/>
    <w:rsid w:val="00E512ED"/>
    <w:rsid w:val="00E545D1"/>
    <w:rsid w:val="00E55E87"/>
    <w:rsid w:val="00E56320"/>
    <w:rsid w:val="00E57036"/>
    <w:rsid w:val="00E63F56"/>
    <w:rsid w:val="00E64D4A"/>
    <w:rsid w:val="00E65531"/>
    <w:rsid w:val="00E67657"/>
    <w:rsid w:val="00E67ED9"/>
    <w:rsid w:val="00E7101D"/>
    <w:rsid w:val="00E71E6F"/>
    <w:rsid w:val="00E721BE"/>
    <w:rsid w:val="00E75A88"/>
    <w:rsid w:val="00E7703C"/>
    <w:rsid w:val="00E805E8"/>
    <w:rsid w:val="00E80666"/>
    <w:rsid w:val="00E8159E"/>
    <w:rsid w:val="00E91344"/>
    <w:rsid w:val="00E9244E"/>
    <w:rsid w:val="00E9380E"/>
    <w:rsid w:val="00EA1BB5"/>
    <w:rsid w:val="00EA34E5"/>
    <w:rsid w:val="00EA5770"/>
    <w:rsid w:val="00EA6377"/>
    <w:rsid w:val="00EB195F"/>
    <w:rsid w:val="00EB2368"/>
    <w:rsid w:val="00EB542F"/>
    <w:rsid w:val="00EB6561"/>
    <w:rsid w:val="00EC0AA6"/>
    <w:rsid w:val="00EC122F"/>
    <w:rsid w:val="00EC24AE"/>
    <w:rsid w:val="00ED0754"/>
    <w:rsid w:val="00ED0977"/>
    <w:rsid w:val="00ED16C6"/>
    <w:rsid w:val="00ED4907"/>
    <w:rsid w:val="00ED66D5"/>
    <w:rsid w:val="00EE03AE"/>
    <w:rsid w:val="00EE06EC"/>
    <w:rsid w:val="00EE37BE"/>
    <w:rsid w:val="00EE3D1A"/>
    <w:rsid w:val="00EF0C46"/>
    <w:rsid w:val="00EF1343"/>
    <w:rsid w:val="00EF42DD"/>
    <w:rsid w:val="00EF4439"/>
    <w:rsid w:val="00EF7F93"/>
    <w:rsid w:val="00F0050B"/>
    <w:rsid w:val="00F00811"/>
    <w:rsid w:val="00F008EF"/>
    <w:rsid w:val="00F019D5"/>
    <w:rsid w:val="00F02DC4"/>
    <w:rsid w:val="00F0391C"/>
    <w:rsid w:val="00F048FF"/>
    <w:rsid w:val="00F05705"/>
    <w:rsid w:val="00F14735"/>
    <w:rsid w:val="00F15731"/>
    <w:rsid w:val="00F20091"/>
    <w:rsid w:val="00F2214B"/>
    <w:rsid w:val="00F243C2"/>
    <w:rsid w:val="00F261B1"/>
    <w:rsid w:val="00F26C2D"/>
    <w:rsid w:val="00F27A1F"/>
    <w:rsid w:val="00F311CC"/>
    <w:rsid w:val="00F32055"/>
    <w:rsid w:val="00F33EAC"/>
    <w:rsid w:val="00F374FD"/>
    <w:rsid w:val="00F402BB"/>
    <w:rsid w:val="00F41A3E"/>
    <w:rsid w:val="00F435E2"/>
    <w:rsid w:val="00F44A88"/>
    <w:rsid w:val="00F47F0F"/>
    <w:rsid w:val="00F52891"/>
    <w:rsid w:val="00F52F3B"/>
    <w:rsid w:val="00F54D03"/>
    <w:rsid w:val="00F55C7F"/>
    <w:rsid w:val="00F56353"/>
    <w:rsid w:val="00F625E2"/>
    <w:rsid w:val="00F62AEC"/>
    <w:rsid w:val="00F64028"/>
    <w:rsid w:val="00F64543"/>
    <w:rsid w:val="00F65229"/>
    <w:rsid w:val="00F653F5"/>
    <w:rsid w:val="00F66A7F"/>
    <w:rsid w:val="00F66B70"/>
    <w:rsid w:val="00F67B14"/>
    <w:rsid w:val="00F71A3A"/>
    <w:rsid w:val="00F73AB4"/>
    <w:rsid w:val="00F74756"/>
    <w:rsid w:val="00F7485F"/>
    <w:rsid w:val="00F761D2"/>
    <w:rsid w:val="00F7681A"/>
    <w:rsid w:val="00F82735"/>
    <w:rsid w:val="00F8354A"/>
    <w:rsid w:val="00F8624F"/>
    <w:rsid w:val="00F92C3E"/>
    <w:rsid w:val="00F941AC"/>
    <w:rsid w:val="00F94980"/>
    <w:rsid w:val="00F953F2"/>
    <w:rsid w:val="00F963D2"/>
    <w:rsid w:val="00F969A3"/>
    <w:rsid w:val="00F97CAD"/>
    <w:rsid w:val="00F97D27"/>
    <w:rsid w:val="00FA0560"/>
    <w:rsid w:val="00FA098F"/>
    <w:rsid w:val="00FA0EA9"/>
    <w:rsid w:val="00FA21C1"/>
    <w:rsid w:val="00FA2623"/>
    <w:rsid w:val="00FA320A"/>
    <w:rsid w:val="00FA6681"/>
    <w:rsid w:val="00FA6B77"/>
    <w:rsid w:val="00FA790B"/>
    <w:rsid w:val="00FB05F7"/>
    <w:rsid w:val="00FB06CE"/>
    <w:rsid w:val="00FB1755"/>
    <w:rsid w:val="00FB1F84"/>
    <w:rsid w:val="00FB2B6A"/>
    <w:rsid w:val="00FB2E42"/>
    <w:rsid w:val="00FB2FF5"/>
    <w:rsid w:val="00FB306B"/>
    <w:rsid w:val="00FB3651"/>
    <w:rsid w:val="00FB3C20"/>
    <w:rsid w:val="00FB6A85"/>
    <w:rsid w:val="00FB6C71"/>
    <w:rsid w:val="00FC0036"/>
    <w:rsid w:val="00FC5C68"/>
    <w:rsid w:val="00FC7C34"/>
    <w:rsid w:val="00FD0D77"/>
    <w:rsid w:val="00FD172C"/>
    <w:rsid w:val="00FD3A8E"/>
    <w:rsid w:val="00FD3BEF"/>
    <w:rsid w:val="00FD5645"/>
    <w:rsid w:val="00FD793B"/>
    <w:rsid w:val="00FE2BD0"/>
    <w:rsid w:val="00FE5344"/>
    <w:rsid w:val="00FE7DF2"/>
    <w:rsid w:val="00FF10E5"/>
    <w:rsid w:val="00FF12BE"/>
    <w:rsid w:val="00FF5D13"/>
    <w:rsid w:val="00FF67BC"/>
    <w:rsid w:val="00FF76F4"/>
    <w:rsid w:val="349E2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C9A365"/>
  <w15:docId w15:val="{C7487DF1-3731-45F8-B8D7-BE908FF88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val="en-US" w:eastAsia="zh-CN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pPr>
      <w:keepNext/>
      <w:keepLines/>
      <w:widowControl/>
      <w:numPr>
        <w:ilvl w:val="5"/>
        <w:numId w:val="1"/>
      </w:numPr>
      <w:spacing w:before="120" w:after="180"/>
      <w:jc w:val="left"/>
      <w:outlineLvl w:val="5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pPr>
      <w:keepNext/>
      <w:keepLines/>
      <w:widowControl/>
      <w:numPr>
        <w:ilvl w:val="6"/>
        <w:numId w:val="1"/>
      </w:numPr>
      <w:spacing w:before="120" w:after="180"/>
      <w:jc w:val="left"/>
      <w:outlineLvl w:val="6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caption"/>
    <w:basedOn w:val="a"/>
    <w:next w:val="a"/>
    <w:unhideWhenUsed/>
    <w:qFormat/>
    <w:pPr>
      <w:widowControl/>
      <w:spacing w:before="240" w:after="240"/>
      <w:jc w:val="center"/>
    </w:pPr>
    <w:rPr>
      <w:rFonts w:ascii="Arial" w:eastAsia="宋体" w:hAnsi="Arial" w:cs="Times New Roman"/>
      <w:b/>
      <w:bCs/>
      <w:color w:val="D2232A"/>
      <w:kern w:val="0"/>
      <w:sz w:val="20"/>
      <w:szCs w:val="20"/>
      <w:lang w:val="en-GB" w:eastAsia="en-US"/>
    </w:rPr>
  </w:style>
  <w:style w:type="paragraph" w:styleId="a6">
    <w:name w:val="Body Text"/>
    <w:basedOn w:val="a"/>
    <w:link w:val="Char1"/>
    <w:qFormat/>
    <w:pPr>
      <w:widowControl/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a7">
    <w:name w:val="Balloon Text"/>
    <w:basedOn w:val="a"/>
    <w:link w:val="Char2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Char4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List"/>
    <w:basedOn w:val="a"/>
    <w:uiPriority w:val="99"/>
    <w:semiHidden/>
    <w:unhideWhenUsed/>
    <w:qFormat/>
    <w:pPr>
      <w:ind w:left="200" w:hangingChars="200" w:hanging="200"/>
      <w:contextualSpacing/>
    </w:pPr>
  </w:style>
  <w:style w:type="paragraph" w:styleId="ab">
    <w:name w:val="footnote text"/>
    <w:basedOn w:val="a"/>
    <w:link w:val="Char5"/>
    <w:semiHidden/>
    <w:qFormat/>
    <w:pPr>
      <w:widowControl/>
      <w:jc w:val="left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styleId="ac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10">
    <w:name w:val="index 1"/>
    <w:basedOn w:val="a"/>
    <w:next w:val="a"/>
    <w:uiPriority w:val="99"/>
    <w:semiHidden/>
    <w:unhideWhenUsed/>
    <w:qFormat/>
  </w:style>
  <w:style w:type="paragraph" w:styleId="21">
    <w:name w:val="index 2"/>
    <w:basedOn w:val="10"/>
    <w:next w:val="a"/>
    <w:semiHidden/>
    <w:qFormat/>
    <w:pPr>
      <w:keepLines/>
      <w:widowControl/>
      <w:ind w:left="284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d">
    <w:name w:val="Strong"/>
    <w:basedOn w:val="a0"/>
    <w:qFormat/>
    <w:rPr>
      <w:b/>
      <w:bCs/>
    </w:rPr>
  </w:style>
  <w:style w:type="character" w:styleId="ae">
    <w:name w:val="Hyperlink"/>
    <w:uiPriority w:val="99"/>
    <w:unhideWhenUsed/>
    <w:qFormat/>
    <w:rPr>
      <w:color w:val="0000FF"/>
      <w:u w:val="single"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0">
    <w:name w:val="footnote reference"/>
    <w:basedOn w:val="a0"/>
    <w:semiHidden/>
    <w:qFormat/>
    <w:rPr>
      <w:rFonts w:ascii="Arial" w:hAnsi="Arial"/>
      <w:color w:val="D2232A"/>
      <w:vertAlign w:val="superscript"/>
    </w:rPr>
  </w:style>
  <w:style w:type="table" w:styleId="af1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4">
    <w:name w:val="页眉 Char"/>
    <w:basedOn w:val="a0"/>
    <w:link w:val="a9"/>
    <w:qFormat/>
    <w:rPr>
      <w:sz w:val="18"/>
      <w:szCs w:val="18"/>
    </w:rPr>
  </w:style>
  <w:style w:type="character" w:customStyle="1" w:styleId="Char3">
    <w:name w:val="页脚 Char"/>
    <w:basedOn w:val="a0"/>
    <w:link w:val="a8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qFormat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f2">
    <w:name w:val="List Paragraph"/>
    <w:basedOn w:val="a"/>
    <w:link w:val="Char6"/>
    <w:uiPriority w:val="34"/>
    <w:qFormat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6">
    <w:name w:val="列出段落 Char"/>
    <w:link w:val="af2"/>
    <w:uiPriority w:val="34"/>
    <w:qFormat/>
    <w:locked/>
    <w:rPr>
      <w:rFonts w:ascii="宋体" w:eastAsia="宋体" w:hAnsi="宋体" w:cs="宋体"/>
      <w:kern w:val="0"/>
      <w:sz w:val="24"/>
      <w:szCs w:val="24"/>
    </w:rPr>
  </w:style>
  <w:style w:type="paragraph" w:customStyle="1" w:styleId="NO">
    <w:name w:val="NO"/>
    <w:basedOn w:val="a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宋体" w:hAnsi="Arial" w:cs="Times New Roman"/>
      <w:kern w:val="0"/>
      <w:sz w:val="18"/>
      <w:szCs w:val="20"/>
      <w:lang w:val="en-GB"/>
    </w:rPr>
  </w:style>
  <w:style w:type="character" w:customStyle="1" w:styleId="TACChar">
    <w:name w:val="TAC Char"/>
    <w:basedOn w:val="a0"/>
    <w:link w:val="TAC"/>
    <w:qFormat/>
    <w:rPr>
      <w:rFonts w:ascii="Arial" w:eastAsia="宋体" w:hAnsi="Arial" w:cs="Times New Roman"/>
      <w:kern w:val="0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HChar">
    <w:name w:val="TH Char"/>
    <w:basedOn w:val="a0"/>
    <w:link w:val="TH"/>
    <w:qFormat/>
    <w:rPr>
      <w:rFonts w:ascii="Arial" w:eastAsia="宋体" w:hAnsi="Arial" w:cs="Times New Roman"/>
      <w:b/>
      <w:kern w:val="0"/>
      <w:sz w:val="20"/>
      <w:szCs w:val="20"/>
      <w:lang w:val="en-GB"/>
    </w:rPr>
  </w:style>
  <w:style w:type="character" w:customStyle="1" w:styleId="TAHCar">
    <w:name w:val="TAH Car"/>
    <w:basedOn w:val="a0"/>
    <w:link w:val="TAH"/>
    <w:qFormat/>
    <w:rPr>
      <w:rFonts w:ascii="Arial" w:eastAsia="宋体" w:hAnsi="Arial" w:cs="Times New Roman"/>
      <w:b/>
      <w:kern w:val="0"/>
      <w:sz w:val="18"/>
      <w:szCs w:val="20"/>
      <w:lang w:val="en-GB"/>
    </w:rPr>
  </w:style>
  <w:style w:type="character" w:customStyle="1" w:styleId="Char2">
    <w:name w:val="批注框文本 Char"/>
    <w:basedOn w:val="a0"/>
    <w:link w:val="a7"/>
    <w:uiPriority w:val="99"/>
    <w:semiHidden/>
    <w:qFormat/>
    <w:rPr>
      <w:sz w:val="18"/>
      <w:szCs w:val="18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af3">
    <w:name w:val="样式 页眉"/>
    <w:basedOn w:val="a9"/>
    <w:link w:val="Char7"/>
    <w:qFormat/>
    <w:pPr>
      <w:pBdr>
        <w:bottom w:val="none" w:sz="0" w:space="0" w:color="auto"/>
      </w:pBdr>
      <w:tabs>
        <w:tab w:val="clear" w:pos="4153"/>
        <w:tab w:val="clear" w:pos="8306"/>
      </w:tabs>
      <w:overflowPunct w:val="0"/>
      <w:autoSpaceDE w:val="0"/>
      <w:autoSpaceDN w:val="0"/>
      <w:adjustRightInd w:val="0"/>
      <w:snapToGrid/>
      <w:jc w:val="left"/>
      <w:textAlignment w:val="baseline"/>
    </w:pPr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character" w:customStyle="1" w:styleId="Char7">
    <w:name w:val="样式 页眉 Char"/>
    <w:link w:val="af3"/>
    <w:qFormat/>
    <w:rPr>
      <w:rFonts w:ascii="Arial" w:eastAsia="Arial" w:hAnsi="Arial" w:cs="Times New Roman"/>
      <w:b/>
      <w:bCs/>
      <w:kern w:val="0"/>
      <w:sz w:val="22"/>
      <w:szCs w:val="20"/>
      <w:lang w:val="en-GB" w:eastAsia="en-US"/>
    </w:rPr>
  </w:style>
  <w:style w:type="paragraph" w:customStyle="1" w:styleId="TAN">
    <w:name w:val="TAN"/>
    <w:basedOn w:val="a"/>
    <w:link w:val="TANChar"/>
    <w:qFormat/>
    <w:pPr>
      <w:keepNext/>
      <w:keepLines/>
      <w:widowControl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paragraph" w:styleId="af4">
    <w:name w:val="No Spacing"/>
    <w:uiPriority w:val="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/>
    </w:rPr>
  </w:style>
  <w:style w:type="paragraph" w:customStyle="1" w:styleId="B1">
    <w:name w:val="B1"/>
    <w:basedOn w:val="aa"/>
    <w:link w:val="B10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10">
    <w:name w:val="B1 (文字)"/>
    <w:basedOn w:val="a0"/>
    <w:link w:val="B1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highlight">
    <w:name w:val="highlight"/>
    <w:basedOn w:val="a0"/>
    <w:qFormat/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MS Mincho" w:hAnsi="Courier New" w:cs="Times New Roman"/>
      <w:lang w:val="en-GB" w:eastAsia="en-US"/>
    </w:rPr>
  </w:style>
  <w:style w:type="paragraph" w:customStyle="1" w:styleId="ECCParagraph">
    <w:name w:val="ECC Paragraph"/>
    <w:basedOn w:val="a"/>
    <w:link w:val="ECCParagraphZchn"/>
    <w:qFormat/>
    <w:pPr>
      <w:widowControl/>
      <w:spacing w:after="240"/>
    </w:pPr>
    <w:rPr>
      <w:rFonts w:ascii="Arial" w:eastAsia="宋体" w:hAnsi="Arial" w:cs="Times New Roman"/>
      <w:kern w:val="0"/>
      <w:sz w:val="20"/>
      <w:szCs w:val="24"/>
      <w:lang w:val="en-GB" w:eastAsia="en-US"/>
    </w:rPr>
  </w:style>
  <w:style w:type="paragraph" w:customStyle="1" w:styleId="ECCAnnex-heading1">
    <w:name w:val="ECC Annex - heading1"/>
    <w:basedOn w:val="1"/>
    <w:next w:val="ECCParagraph"/>
    <w:qFormat/>
    <w:pPr>
      <w:keepLines w:val="0"/>
      <w:pageBreakBefore/>
      <w:numPr>
        <w:numId w:val="2"/>
      </w:numPr>
      <w:pBdr>
        <w:top w:val="none" w:sz="0" w:space="0" w:color="auto"/>
      </w:pBdr>
      <w:spacing w:before="400" w:after="240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ECCFootnote">
    <w:name w:val="ECC Footnote"/>
    <w:basedOn w:val="a"/>
    <w:qFormat/>
    <w:pPr>
      <w:widowControl/>
      <w:ind w:left="454" w:hanging="454"/>
      <w:jc w:val="left"/>
    </w:pPr>
    <w:rPr>
      <w:rFonts w:ascii="Arial" w:eastAsia="宋体" w:hAnsi="Arial" w:cs="Times New Roman"/>
      <w:kern w:val="0"/>
      <w:sz w:val="16"/>
      <w:szCs w:val="24"/>
      <w:lang w:val="en-GB" w:eastAsia="en-US"/>
    </w:rPr>
  </w:style>
  <w:style w:type="character" w:customStyle="1" w:styleId="Char5">
    <w:name w:val="脚注文本 Char"/>
    <w:basedOn w:val="a0"/>
    <w:link w:val="ab"/>
    <w:semiHidden/>
    <w:qFormat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qFormat/>
    <w:pPr>
      <w:autoSpaceDE w:val="0"/>
      <w:autoSpaceDN w:val="0"/>
      <w:spacing w:line="252" w:lineRule="auto"/>
      <w:ind w:firstLine="202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ECCTablenote">
    <w:name w:val="ECC Table note"/>
    <w:basedOn w:val="ECCParagraph"/>
    <w:next w:val="ECCParagraph"/>
    <w:qFormat/>
    <w:pPr>
      <w:spacing w:after="0"/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ECCParagraph"/>
    <w:qFormat/>
    <w:pPr>
      <w:widowControl/>
      <w:numPr>
        <w:ilvl w:val="1"/>
        <w:numId w:val="2"/>
      </w:numPr>
      <w:overflowPunct w:val="0"/>
      <w:autoSpaceDE w:val="0"/>
      <w:autoSpaceDN w:val="0"/>
      <w:adjustRightInd w:val="0"/>
      <w:spacing w:before="480" w:after="240"/>
      <w:jc w:val="left"/>
      <w:textAlignment w:val="baseline"/>
    </w:pPr>
    <w:rPr>
      <w:rFonts w:ascii="Arial" w:eastAsia="宋体" w:hAnsi="Arial" w:cs="Times New Roman"/>
      <w:b/>
      <w:caps/>
      <w:kern w:val="0"/>
      <w:sz w:val="20"/>
      <w:szCs w:val="24"/>
      <w:lang w:val="en-GB" w:eastAsia="en-US"/>
    </w:rPr>
  </w:style>
  <w:style w:type="paragraph" w:customStyle="1" w:styleId="ECCAnnexheading3">
    <w:name w:val="ECC Annex heading3"/>
    <w:basedOn w:val="a"/>
    <w:next w:val="ECCParagraph"/>
    <w:qFormat/>
    <w:pPr>
      <w:widowControl/>
      <w:numPr>
        <w:ilvl w:val="2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b/>
      <w:kern w:val="0"/>
      <w:sz w:val="20"/>
      <w:szCs w:val="24"/>
      <w:lang w:val="en-GB" w:eastAsia="en-US"/>
    </w:rPr>
  </w:style>
  <w:style w:type="paragraph" w:customStyle="1" w:styleId="ECCAnnexheading4">
    <w:name w:val="ECC Annex heading4"/>
    <w:basedOn w:val="a"/>
    <w:next w:val="ECCParagraph"/>
    <w:qFormat/>
    <w:pPr>
      <w:widowControl/>
      <w:numPr>
        <w:ilvl w:val="3"/>
        <w:numId w:val="2"/>
      </w:numPr>
      <w:overflowPunct w:val="0"/>
      <w:autoSpaceDE w:val="0"/>
      <w:autoSpaceDN w:val="0"/>
      <w:adjustRightInd w:val="0"/>
      <w:spacing w:before="360" w:after="120"/>
      <w:jc w:val="left"/>
      <w:textAlignment w:val="baseline"/>
    </w:pPr>
    <w:rPr>
      <w:rFonts w:ascii="Arial" w:eastAsia="宋体" w:hAnsi="Arial" w:cs="Times New Roman"/>
      <w:i/>
      <w:color w:val="D2232A"/>
      <w:kern w:val="0"/>
      <w:sz w:val="20"/>
      <w:szCs w:val="24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right" w:pos="9356"/>
      </w:tabs>
      <w:spacing w:after="240"/>
      <w:jc w:val="left"/>
    </w:pPr>
    <w:rPr>
      <w:rFonts w:ascii="Arial" w:eastAsia="宋体" w:hAnsi="Arial" w:cs="Times New Roman"/>
      <w:kern w:val="0"/>
      <w:sz w:val="20"/>
      <w:szCs w:val="20"/>
      <w:lang w:val="en-GB"/>
    </w:rPr>
  </w:style>
  <w:style w:type="table" w:customStyle="1" w:styleId="ECCTable-redheader">
    <w:name w:val="ECC Table - red header"/>
    <w:basedOn w:val="a1"/>
    <w:uiPriority w:val="99"/>
    <w:qFormat/>
    <w:pPr>
      <w:spacing w:before="60" w:after="60"/>
      <w:jc w:val="both"/>
    </w:pPr>
    <w:rPr>
      <w:rFonts w:ascii="Arial" w:eastAsia="Calibri" w:hAnsi="Arial" w:cs="Times New Roman"/>
      <w:lang w:val="de-DE" w:eastAsia="de-DE"/>
    </w:rPr>
    <w:tblPr>
      <w:jc w:val="center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basedOn w:val="a0"/>
    <w:uiPriority w:val="1"/>
    <w:qFormat/>
    <w:rPr>
      <w:rFonts w:eastAsia="Calibri"/>
      <w:szCs w:val="22"/>
      <w:shd w:val="solid" w:color="FFFF00" w:fill="auto"/>
      <w:lang w:val="en-GB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 w:cs="Times New Roman"/>
      <w:kern w:val="0"/>
      <w:sz w:val="20"/>
      <w:szCs w:val="24"/>
      <w:lang w:val="en-GB" w:eastAsia="en-US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</w:rPr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_text"/>
    <w:basedOn w:val="a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hAnsi="Times New Roman" w:cs="Times New Roman"/>
      <w:kern w:val="0"/>
      <w:sz w:val="22"/>
      <w:szCs w:val="20"/>
      <w:lang w:val="fr-FR" w:eastAsia="en-US"/>
    </w:rPr>
  </w:style>
  <w:style w:type="paragraph" w:customStyle="1" w:styleId="Tablehead">
    <w:name w:val="Table_head"/>
    <w:basedOn w:val="Tabletext"/>
    <w:next w:val="Tabletext"/>
    <w:qFormat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qFormat/>
    <w:pPr>
      <w:spacing w:before="120"/>
      <w:ind w:left="284" w:right="-85" w:hanging="369"/>
    </w:pPr>
  </w:style>
  <w:style w:type="character" w:customStyle="1" w:styleId="href">
    <w:name w:val="href"/>
    <w:basedOn w:val="a0"/>
    <w:qFormat/>
  </w:style>
  <w:style w:type="paragraph" w:customStyle="1" w:styleId="RecNo">
    <w:name w:val="Rec_No"/>
    <w:basedOn w:val="a"/>
    <w:next w:val="a"/>
    <w:qFormat/>
    <w:pPr>
      <w:keepNext/>
      <w:keepLines/>
      <w:widowControl/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ascii="Times New Roman" w:hAnsi="Times New Roman" w:cs="Times New Roman"/>
      <w:kern w:val="0"/>
      <w:sz w:val="28"/>
      <w:szCs w:val="20"/>
      <w:lang w:val="fr-FR" w:eastAsia="en-US"/>
    </w:rPr>
  </w:style>
  <w:style w:type="paragraph" w:customStyle="1" w:styleId="EW">
    <w:name w:val="EW"/>
    <w:basedOn w:val="a"/>
    <w:qFormat/>
    <w:pPr>
      <w:keepLines/>
      <w:widowControl/>
      <w:ind w:left="1702" w:hanging="1418"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1">
    <w:name w:val="正文文本 Char"/>
    <w:basedOn w:val="a0"/>
    <w:link w:val="a6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Times New Roman"/>
      <w:bCs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bCs/>
      <w:kern w:val="0"/>
      <w:sz w:val="20"/>
      <w:szCs w:val="20"/>
      <w:lang w:val="en-GB" w:eastAsia="zh-CN"/>
    </w:rPr>
  </w:style>
  <w:style w:type="paragraph" w:customStyle="1" w:styleId="EX">
    <w:name w:val="EX"/>
    <w:basedOn w:val="a"/>
    <w:link w:val="EXChar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XChar">
    <w:name w:val="EX Char"/>
    <w:link w:val="EX"/>
    <w:qFormat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search-word-mail">
    <w:name w:val="search-word-mail"/>
    <w:basedOn w:val="a0"/>
    <w:qFormat/>
  </w:style>
  <w:style w:type="paragraph" w:customStyle="1" w:styleId="maintext">
    <w:name w:val="main text"/>
    <w:basedOn w:val="a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Batang"/>
      <w:kern w:val="0"/>
      <w:sz w:val="20"/>
      <w:szCs w:val="20"/>
      <w:lang w:val="en-GB" w:eastAsia="ko-KR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B2">
    <w:name w:val="B2"/>
    <w:basedOn w:val="20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EQChar">
    <w:name w:val="EQ Char"/>
    <w:link w:val="EQ"/>
    <w:qFormat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B9D7FD-FA83-488D-80E0-9F5036278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1750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11705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samsung</cp:lastModifiedBy>
  <cp:revision>4</cp:revision>
  <cp:lastPrinted>2019-03-25T03:05:00Z</cp:lastPrinted>
  <dcterms:created xsi:type="dcterms:W3CDTF">2020-06-04T00:52:00Z</dcterms:created>
  <dcterms:modified xsi:type="dcterms:W3CDTF">2020-06-04T00:56:00Z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D:\Work\3GPP\RAN4\2017\RAN4#85\Draft\R4-17XXXXX_absolute ACLR.docx</vt:lpwstr>
  </property>
  <property fmtid="{D5CDD505-2E9C-101B-9397-08002B2CF9AE}" pid="4" name="KSOProductBuildVer">
    <vt:lpwstr>2052-10.8.2.6613</vt:lpwstr>
  </property>
</Properties>
</file>